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B4" w:rsidRPr="00E036D9" w:rsidRDefault="005618B4" w:rsidP="005618B4">
      <w:pPr>
        <w:spacing w:after="0" w:line="240" w:lineRule="auto"/>
        <w:jc w:val="center"/>
        <w:rPr>
          <w:b/>
        </w:rPr>
      </w:pPr>
      <w:bookmarkStart w:id="0" w:name="_GoBack"/>
      <w:bookmarkEnd w:id="0"/>
      <w:r w:rsidRPr="00E036D9">
        <w:rPr>
          <w:b/>
        </w:rPr>
        <w:t>Energy Efficiency Post-2011 Review</w:t>
      </w:r>
    </w:p>
    <w:p w:rsidR="005618B4" w:rsidRPr="00E036D9" w:rsidRDefault="005618B4" w:rsidP="005618B4">
      <w:pPr>
        <w:spacing w:after="0" w:line="240" w:lineRule="auto"/>
        <w:jc w:val="center"/>
        <w:rPr>
          <w:b/>
        </w:rPr>
      </w:pPr>
      <w:r w:rsidRPr="00E036D9">
        <w:rPr>
          <w:b/>
        </w:rPr>
        <w:t>Workgroup 1</w:t>
      </w:r>
      <w:r>
        <w:rPr>
          <w:b/>
        </w:rPr>
        <w:t xml:space="preserve"> Meeting Minutes</w:t>
      </w:r>
    </w:p>
    <w:p w:rsidR="005618B4" w:rsidRDefault="00FA4CCF" w:rsidP="005618B4">
      <w:pPr>
        <w:spacing w:after="0" w:line="240" w:lineRule="auto"/>
        <w:jc w:val="center"/>
        <w:rPr>
          <w:b/>
        </w:rPr>
      </w:pPr>
      <w:r>
        <w:rPr>
          <w:b/>
        </w:rPr>
        <w:t>May 28</w:t>
      </w:r>
      <w:r w:rsidR="005618B4" w:rsidRPr="00E036D9">
        <w:rPr>
          <w:b/>
        </w:rPr>
        <w:t>, 201</w:t>
      </w:r>
      <w:r w:rsidR="005618B4">
        <w:rPr>
          <w:b/>
        </w:rPr>
        <w:t>4</w:t>
      </w:r>
    </w:p>
    <w:p w:rsidR="005618B4" w:rsidRPr="00E036D9" w:rsidRDefault="005618B4" w:rsidP="005618B4">
      <w:pPr>
        <w:spacing w:after="0" w:line="240" w:lineRule="auto"/>
        <w:jc w:val="center"/>
        <w:rPr>
          <w:b/>
        </w:rPr>
      </w:pPr>
      <w:r>
        <w:rPr>
          <w:b/>
        </w:rPr>
        <w:t>PNGC Board Room</w:t>
      </w:r>
    </w:p>
    <w:p w:rsidR="00485C78" w:rsidRDefault="00485C78" w:rsidP="00485C78">
      <w:pPr>
        <w:pStyle w:val="NoSpacing"/>
        <w:rPr>
          <w:b/>
        </w:rPr>
      </w:pPr>
    </w:p>
    <w:p w:rsidR="00485C78" w:rsidRDefault="00485C78" w:rsidP="00485C78">
      <w:pPr>
        <w:pStyle w:val="NoSpacing"/>
        <w:rPr>
          <w:b/>
        </w:rPr>
      </w:pPr>
      <w:r w:rsidRPr="009A0CB3">
        <w:rPr>
          <w:b/>
        </w:rPr>
        <w:t xml:space="preserve">Overview/Summary </w:t>
      </w:r>
    </w:p>
    <w:p w:rsidR="00DC340C" w:rsidRDefault="00E164A1" w:rsidP="00E722BD">
      <w:pPr>
        <w:pStyle w:val="NoSpacing"/>
        <w:numPr>
          <w:ilvl w:val="0"/>
          <w:numId w:val="10"/>
        </w:numPr>
        <w:ind w:left="360"/>
      </w:pPr>
      <w:r>
        <w:t xml:space="preserve">The meeting was to review the draft recommendation that was sent to the Workgroup on Tuesday, May 20.  We discussed the purpose of the meeting:  to identify the recommendation and </w:t>
      </w:r>
      <w:r w:rsidR="005820E8">
        <w:t>revise the recommendation to more clearly identify them and the subsequent alternatives contained therein.</w:t>
      </w:r>
    </w:p>
    <w:p w:rsidR="005820E8" w:rsidRPr="00E722BD" w:rsidRDefault="005820E8" w:rsidP="00E722BD">
      <w:pPr>
        <w:pStyle w:val="NoSpacing"/>
        <w:numPr>
          <w:ilvl w:val="0"/>
          <w:numId w:val="10"/>
        </w:numPr>
        <w:ind w:left="360"/>
      </w:pPr>
      <w:r>
        <w:t>There was some discussion on whether the workgroup will continue post June 20, to respond to BPA collectively or individually.</w:t>
      </w:r>
    </w:p>
    <w:p w:rsidR="00AD4A86" w:rsidRPr="00E722BD" w:rsidRDefault="00AD4A86" w:rsidP="00E722BD">
      <w:pPr>
        <w:pStyle w:val="NoSpacing"/>
      </w:pPr>
    </w:p>
    <w:p w:rsidR="00485C78" w:rsidRDefault="00485C78" w:rsidP="00485C78">
      <w:pPr>
        <w:pStyle w:val="NoSpacing"/>
        <w:rPr>
          <w:b/>
        </w:rPr>
      </w:pPr>
      <w:r w:rsidRPr="008D4FB5">
        <w:rPr>
          <w:b/>
        </w:rPr>
        <w:t>Decision/Action Items</w:t>
      </w:r>
    </w:p>
    <w:p w:rsidR="005820E8" w:rsidRDefault="005820E8" w:rsidP="00386926">
      <w:pPr>
        <w:pStyle w:val="NoSpacing"/>
        <w:numPr>
          <w:ilvl w:val="0"/>
          <w:numId w:val="14"/>
        </w:numPr>
      </w:pPr>
      <w:r w:rsidRPr="005820E8">
        <w:t xml:space="preserve">It was determined the Workgroup will </w:t>
      </w:r>
      <w:r w:rsidR="00464F3F">
        <w:t>dissolve</w:t>
      </w:r>
      <w:r w:rsidRPr="005820E8">
        <w:t xml:space="preserve"> after today’s meeting.  The charge </w:t>
      </w:r>
      <w:r w:rsidR="00E169DF">
        <w:t xml:space="preserve">of the Workgroup was </w:t>
      </w:r>
      <w:r w:rsidRPr="005820E8">
        <w:t xml:space="preserve">to prepare a recommendation on the issues and submit them to BPA.  </w:t>
      </w:r>
      <w:r w:rsidR="00E169DF">
        <w:t xml:space="preserve">We have concluded that task.  </w:t>
      </w:r>
      <w:r w:rsidRPr="005820E8">
        <w:t xml:space="preserve">Further comments on BPA’s June 20 document will come from the individual utilities.  </w:t>
      </w:r>
    </w:p>
    <w:p w:rsidR="005820E8" w:rsidRDefault="008C4EC3" w:rsidP="00386926">
      <w:pPr>
        <w:pStyle w:val="NoSpacing"/>
        <w:numPr>
          <w:ilvl w:val="0"/>
          <w:numId w:val="14"/>
        </w:numPr>
      </w:pPr>
      <w:r>
        <w:t>The recommendation report was revamped to specifically call out the Workgroup recommendations.</w:t>
      </w:r>
    </w:p>
    <w:p w:rsidR="008C4EC3" w:rsidRDefault="008C4EC3" w:rsidP="00386926">
      <w:pPr>
        <w:pStyle w:val="NoSpacing"/>
        <w:numPr>
          <w:ilvl w:val="0"/>
          <w:numId w:val="14"/>
        </w:numPr>
      </w:pPr>
      <w:r>
        <w:t>Language was added</w:t>
      </w:r>
      <w:r w:rsidR="00386926">
        <w:t xml:space="preserve"> that further discussions on these recommendations be coordinated in consultation with public power and regional stakeholders after the June 20 meeting.  </w:t>
      </w:r>
    </w:p>
    <w:p w:rsidR="005820E8" w:rsidRPr="005820E8" w:rsidRDefault="005820E8" w:rsidP="00485C78">
      <w:pPr>
        <w:pStyle w:val="NoSpacing"/>
      </w:pPr>
    </w:p>
    <w:p w:rsidR="003E7C77" w:rsidRDefault="003E7C77" w:rsidP="00485C78">
      <w:pPr>
        <w:pStyle w:val="NoSpacing"/>
      </w:pPr>
    </w:p>
    <w:p w:rsidR="00386926" w:rsidRPr="002E7C99" w:rsidRDefault="00386926" w:rsidP="00485C78">
      <w:pPr>
        <w:pStyle w:val="NoSpacing"/>
      </w:pPr>
    </w:p>
    <w:p w:rsidR="003E7C77" w:rsidRPr="003E7C77" w:rsidRDefault="003E7C77" w:rsidP="003E7C77">
      <w:pPr>
        <w:pStyle w:val="NoSpacing"/>
        <w:rPr>
          <w:b/>
        </w:rPr>
      </w:pPr>
      <w:r w:rsidRPr="003E7C77">
        <w:rPr>
          <w:b/>
        </w:rPr>
        <w:t>Welcome, Roll Call and Review of Action Items</w:t>
      </w:r>
    </w:p>
    <w:p w:rsidR="00485C78" w:rsidRDefault="00485C78" w:rsidP="00485C78">
      <w:pPr>
        <w:pStyle w:val="NoSpacing"/>
      </w:pPr>
    </w:p>
    <w:p w:rsidR="00CA21A2" w:rsidRDefault="00CA21A2" w:rsidP="00CA21A2">
      <w:pPr>
        <w:pStyle w:val="NoSpacing"/>
        <w:sectPr w:rsidR="00CA21A2" w:rsidSect="006A3FF9">
          <w:footerReference w:type="default" r:id="rId9"/>
          <w:pgSz w:w="12240" w:h="15840"/>
          <w:pgMar w:top="1440" w:right="1440" w:bottom="1440" w:left="1440" w:header="720" w:footer="720" w:gutter="0"/>
          <w:cols w:space="720"/>
          <w:titlePg/>
          <w:docGrid w:linePitch="360"/>
        </w:sectPr>
      </w:pPr>
    </w:p>
    <w:p w:rsidR="004F1C91" w:rsidRPr="00CA21A2" w:rsidRDefault="004F1C91" w:rsidP="00CA21A2">
      <w:pPr>
        <w:pStyle w:val="NoSpacing"/>
        <w:rPr>
          <w:b/>
        </w:rPr>
      </w:pPr>
      <w:r w:rsidRPr="00CA21A2">
        <w:rPr>
          <w:b/>
        </w:rPr>
        <w:lastRenderedPageBreak/>
        <w:t>Attendees:</w:t>
      </w:r>
    </w:p>
    <w:p w:rsidR="00CA21A2" w:rsidRDefault="00CA21A2" w:rsidP="00CA21A2">
      <w:pPr>
        <w:pStyle w:val="NoSpacing"/>
      </w:pPr>
    </w:p>
    <w:p w:rsidR="00761026" w:rsidRPr="00CA21A2" w:rsidRDefault="00CA21A2" w:rsidP="00CA21A2">
      <w:pPr>
        <w:pStyle w:val="NoSpacing"/>
        <w:rPr>
          <w:b/>
        </w:rPr>
      </w:pPr>
      <w:r>
        <w:rPr>
          <w:b/>
        </w:rPr>
        <w:t>Co-C</w:t>
      </w:r>
      <w:r w:rsidR="00761026" w:rsidRPr="00CA21A2">
        <w:rPr>
          <w:b/>
        </w:rPr>
        <w:t xml:space="preserve">hairs: </w:t>
      </w:r>
    </w:p>
    <w:p w:rsidR="00761026" w:rsidRDefault="00761026" w:rsidP="00CA21A2">
      <w:pPr>
        <w:pStyle w:val="NoSpacing"/>
      </w:pPr>
      <w:r>
        <w:t>Doug Brawley, PNGC</w:t>
      </w:r>
    </w:p>
    <w:p w:rsidR="00761026" w:rsidRDefault="00761026" w:rsidP="00CA21A2">
      <w:pPr>
        <w:pStyle w:val="NoSpacing"/>
      </w:pPr>
      <w:r>
        <w:t>Margaret Lewis, BPA</w:t>
      </w:r>
    </w:p>
    <w:p w:rsidR="00761026" w:rsidRDefault="00761026" w:rsidP="00CA21A2">
      <w:pPr>
        <w:pStyle w:val="NoSpacing"/>
      </w:pPr>
    </w:p>
    <w:p w:rsidR="00CA21A2" w:rsidRPr="00CA21A2" w:rsidRDefault="00CA21A2" w:rsidP="00CA21A2">
      <w:pPr>
        <w:pStyle w:val="NoSpacing"/>
        <w:rPr>
          <w:b/>
        </w:rPr>
      </w:pPr>
      <w:r w:rsidRPr="00CA21A2">
        <w:rPr>
          <w:b/>
        </w:rPr>
        <w:t xml:space="preserve">In Person </w:t>
      </w:r>
    </w:p>
    <w:p w:rsidR="00B85857" w:rsidRPr="009D32F0" w:rsidRDefault="00B85857" w:rsidP="00CA21A2">
      <w:pPr>
        <w:pStyle w:val="NoSpacing"/>
      </w:pPr>
      <w:r w:rsidRPr="009D32F0">
        <w:t>Wendy Gerlitz</w:t>
      </w:r>
      <w:r w:rsidR="00761026" w:rsidRPr="009D32F0">
        <w:t>, NWEC</w:t>
      </w:r>
    </w:p>
    <w:p w:rsidR="00CA21A2" w:rsidRPr="009D32F0" w:rsidRDefault="00CA21A2" w:rsidP="00CA21A2">
      <w:pPr>
        <w:pStyle w:val="NoSpacing"/>
      </w:pPr>
      <w:r w:rsidRPr="009D32F0">
        <w:t>Mary Smith, Snohomish</w:t>
      </w:r>
    </w:p>
    <w:p w:rsidR="007B5B33" w:rsidRPr="009D32F0" w:rsidRDefault="007B5B33" w:rsidP="00CD102E">
      <w:pPr>
        <w:pStyle w:val="NoSpacing"/>
      </w:pPr>
      <w:r w:rsidRPr="009D32F0">
        <w:t>Bo Downen, PPC</w:t>
      </w:r>
    </w:p>
    <w:p w:rsidR="00AB1857" w:rsidRDefault="00AB1857" w:rsidP="00AB1857">
      <w:pPr>
        <w:pStyle w:val="NoSpacing"/>
      </w:pPr>
      <w:r w:rsidRPr="009D32F0">
        <w:t>Pam Sporborg, NRU</w:t>
      </w:r>
    </w:p>
    <w:p w:rsidR="00DE1653" w:rsidRDefault="00DE1653" w:rsidP="00AB1857">
      <w:pPr>
        <w:pStyle w:val="NoSpacing"/>
      </w:pPr>
      <w:r>
        <w:t>Eugene Rosolie, Cowlitz</w:t>
      </w:r>
    </w:p>
    <w:p w:rsidR="00DE1653" w:rsidRDefault="00DE1653" w:rsidP="00AB1857">
      <w:pPr>
        <w:pStyle w:val="NoSpacing"/>
      </w:pPr>
      <w:r>
        <w:t xml:space="preserve">Margaret Ryan, </w:t>
      </w:r>
      <w:r w:rsidR="00464F3F">
        <w:t>PNGC</w:t>
      </w:r>
    </w:p>
    <w:p w:rsidR="00FA4CCF" w:rsidRPr="009D32F0" w:rsidRDefault="00FA4CCF" w:rsidP="00AB1857">
      <w:pPr>
        <w:pStyle w:val="NoSpacing"/>
      </w:pPr>
      <w:r>
        <w:t>Jim Russell, Tacoma Power</w:t>
      </w:r>
    </w:p>
    <w:p w:rsidR="00B85857" w:rsidRPr="009D32F0" w:rsidRDefault="00B85857" w:rsidP="00CA21A2">
      <w:pPr>
        <w:pStyle w:val="NoSpacing"/>
      </w:pPr>
    </w:p>
    <w:p w:rsidR="00B85857" w:rsidRPr="009D32F0" w:rsidRDefault="00AB1857" w:rsidP="00CA21A2">
      <w:pPr>
        <w:pStyle w:val="NoSpacing"/>
        <w:rPr>
          <w:b/>
        </w:rPr>
      </w:pPr>
      <w:r w:rsidRPr="009D32F0">
        <w:rPr>
          <w:b/>
        </w:rPr>
        <w:t>On the phone</w:t>
      </w:r>
    </w:p>
    <w:p w:rsidR="00EA4DB9" w:rsidRDefault="00EA4DB9" w:rsidP="00CA21A2">
      <w:pPr>
        <w:pStyle w:val="NoSpacing"/>
      </w:pPr>
      <w:r>
        <w:t>Duffell Gray, Coos Curry</w:t>
      </w:r>
    </w:p>
    <w:p w:rsidR="00EA4DB9" w:rsidRDefault="00EA4DB9" w:rsidP="00CA21A2">
      <w:pPr>
        <w:pStyle w:val="NoSpacing"/>
      </w:pPr>
      <w:r>
        <w:t>Brad Mullins, ICNU</w:t>
      </w:r>
    </w:p>
    <w:p w:rsidR="00EA4DB9" w:rsidRPr="009D32F0" w:rsidRDefault="00EA4DB9" w:rsidP="00EA4DB9">
      <w:pPr>
        <w:pStyle w:val="NoSpacing"/>
      </w:pPr>
      <w:r w:rsidRPr="009D32F0">
        <w:t>Eric Miller, Benton REA</w:t>
      </w:r>
    </w:p>
    <w:p w:rsidR="00EA4DB9" w:rsidRDefault="00EA4DB9" w:rsidP="00CA21A2">
      <w:pPr>
        <w:pStyle w:val="NoSpacing"/>
      </w:pPr>
      <w:r>
        <w:t>Brendan O’Donnell, SCL</w:t>
      </w:r>
    </w:p>
    <w:p w:rsidR="00EA4DB9" w:rsidRDefault="00EA4DB9" w:rsidP="00CA21A2">
      <w:pPr>
        <w:pStyle w:val="NoSpacing"/>
      </w:pPr>
      <w:r>
        <w:t>Jim Dolan, Pacific County</w:t>
      </w:r>
    </w:p>
    <w:p w:rsidR="00EA4DB9" w:rsidRDefault="00EA4DB9" w:rsidP="00CA21A2">
      <w:pPr>
        <w:pStyle w:val="NoSpacing"/>
      </w:pPr>
      <w:r>
        <w:lastRenderedPageBreak/>
        <w:t>Mattias Jarvegren, Clallam</w:t>
      </w:r>
    </w:p>
    <w:p w:rsidR="00EA4DB9" w:rsidRDefault="00AF05E6" w:rsidP="00CA21A2">
      <w:pPr>
        <w:pStyle w:val="NoSpacing"/>
      </w:pPr>
      <w:r>
        <w:t>Chuck Thurma</w:t>
      </w:r>
      <w:r w:rsidR="00EA4DB9">
        <w:t>n, Monmouth</w:t>
      </w:r>
    </w:p>
    <w:p w:rsidR="00EA4DB9" w:rsidRDefault="00EA4DB9" w:rsidP="00CA21A2">
      <w:pPr>
        <w:pStyle w:val="NoSpacing"/>
      </w:pPr>
      <w:r>
        <w:t>Kevin Smit, EES</w:t>
      </w:r>
    </w:p>
    <w:p w:rsidR="00EA4DB9" w:rsidRDefault="00EA4DB9" w:rsidP="00CA21A2">
      <w:pPr>
        <w:pStyle w:val="NoSpacing"/>
      </w:pPr>
      <w:r>
        <w:t>Rob Currier, EPUD</w:t>
      </w:r>
    </w:p>
    <w:p w:rsidR="004738BD" w:rsidRDefault="00AF05E6" w:rsidP="00CA21A2">
      <w:pPr>
        <w:pStyle w:val="NoSpacing"/>
      </w:pPr>
      <w:r>
        <w:t>Ross Ho</w:t>
      </w:r>
      <w:r w:rsidR="004738BD">
        <w:t>lter, Flathead</w:t>
      </w:r>
    </w:p>
    <w:p w:rsidR="004738BD" w:rsidRDefault="004738BD" w:rsidP="00CA21A2">
      <w:pPr>
        <w:pStyle w:val="NoSpacing"/>
      </w:pPr>
      <w:r>
        <w:t>Tim Lammers, Columbia River</w:t>
      </w:r>
    </w:p>
    <w:p w:rsidR="004738BD" w:rsidRDefault="004738BD" w:rsidP="00CA21A2">
      <w:pPr>
        <w:pStyle w:val="NoSpacing"/>
      </w:pPr>
      <w:r>
        <w:t>Tom Karier, NWPCC</w:t>
      </w:r>
    </w:p>
    <w:p w:rsidR="00B00D24" w:rsidRDefault="00B00D24" w:rsidP="00CA21A2">
      <w:pPr>
        <w:pStyle w:val="NoSpacing"/>
      </w:pPr>
      <w:r>
        <w:t>Sandi Edgemon Richland</w:t>
      </w:r>
    </w:p>
    <w:p w:rsidR="00FA4CCF" w:rsidRPr="009D32F0" w:rsidRDefault="00EA4DB9" w:rsidP="00FA4CCF">
      <w:pPr>
        <w:pStyle w:val="NoSpacing"/>
      </w:pPr>
      <w:r>
        <w:t>Ryan Nea</w:t>
      </w:r>
      <w:r w:rsidR="00FA4CCF" w:rsidRPr="009D32F0">
        <w:t>l, WAPAG</w:t>
      </w:r>
    </w:p>
    <w:p w:rsidR="00AB1857" w:rsidRDefault="00AB1857" w:rsidP="00CA21A2">
      <w:pPr>
        <w:pStyle w:val="NoSpacing"/>
      </w:pPr>
      <w:r w:rsidRPr="009D32F0">
        <w:t>Larry Blaufus</w:t>
      </w:r>
      <w:r w:rsidR="00365AE7">
        <w:t>, Clark Public Utilities</w:t>
      </w:r>
    </w:p>
    <w:p w:rsidR="00AB1857" w:rsidRDefault="004F20D7" w:rsidP="00CA21A2">
      <w:pPr>
        <w:pStyle w:val="NoSpacing"/>
      </w:pPr>
      <w:r>
        <w:t>Linda Esparza</w:t>
      </w:r>
      <w:r w:rsidR="00365AE7">
        <w:t>, Franklin PUD</w:t>
      </w:r>
    </w:p>
    <w:p w:rsidR="00AB1857" w:rsidRDefault="004662EA" w:rsidP="00CA21A2">
      <w:pPr>
        <w:pStyle w:val="NoSpacing"/>
      </w:pPr>
      <w:r>
        <w:t>Jess Kincaid</w:t>
      </w:r>
      <w:r w:rsidR="00365AE7">
        <w:t>, ODOE</w:t>
      </w:r>
    </w:p>
    <w:p w:rsidR="004662EA" w:rsidRDefault="004662EA" w:rsidP="00CA21A2">
      <w:pPr>
        <w:pStyle w:val="NoSpacing"/>
      </w:pPr>
      <w:r>
        <w:t>Dan Morehouse, EWEB</w:t>
      </w:r>
    </w:p>
    <w:p w:rsidR="004952C0" w:rsidRDefault="004952C0" w:rsidP="00CA21A2">
      <w:pPr>
        <w:pStyle w:val="NoSpacing"/>
      </w:pPr>
      <w:r>
        <w:t xml:space="preserve">Kathy </w:t>
      </w:r>
      <w:r w:rsidR="006B312B">
        <w:t>Moore, Umatilla</w:t>
      </w:r>
    </w:p>
    <w:p w:rsidR="001C5362" w:rsidRDefault="00A97808" w:rsidP="00CA21A2">
      <w:pPr>
        <w:pStyle w:val="NoSpacing"/>
      </w:pPr>
      <w:r>
        <w:t>Kyle Roadman, EPUD</w:t>
      </w:r>
    </w:p>
    <w:p w:rsidR="004952C0" w:rsidRDefault="004952C0" w:rsidP="00CA21A2">
      <w:pPr>
        <w:pStyle w:val="NoSpacing"/>
      </w:pPr>
    </w:p>
    <w:p w:rsidR="00A32785" w:rsidRPr="00006D73" w:rsidRDefault="00006D73" w:rsidP="00CA21A2">
      <w:pPr>
        <w:pStyle w:val="NoSpacing"/>
        <w:rPr>
          <w:b/>
        </w:rPr>
      </w:pPr>
      <w:r>
        <w:rPr>
          <w:b/>
        </w:rPr>
        <w:t>BPA Participants</w:t>
      </w:r>
    </w:p>
    <w:p w:rsidR="00A32785" w:rsidRDefault="00A32785" w:rsidP="00CA21A2">
      <w:pPr>
        <w:pStyle w:val="NoSpacing"/>
      </w:pPr>
      <w:r>
        <w:t>Matt Tidwell</w:t>
      </w:r>
    </w:p>
    <w:p w:rsidR="00241CFA" w:rsidRDefault="00241CFA" w:rsidP="00CD102E">
      <w:pPr>
        <w:pStyle w:val="NoSpacing"/>
      </w:pPr>
      <w:r>
        <w:t>Summer Goodwin</w:t>
      </w:r>
    </w:p>
    <w:p w:rsidR="00A32785" w:rsidRDefault="004738BD" w:rsidP="00A32785">
      <w:r>
        <w:t>Josh Warner</w:t>
      </w:r>
    </w:p>
    <w:p w:rsidR="00CD45FD" w:rsidRDefault="00CD45FD" w:rsidP="00485C78">
      <w:pPr>
        <w:rPr>
          <w:b/>
        </w:rPr>
        <w:sectPr w:rsidR="00CD45FD" w:rsidSect="00CD45FD">
          <w:type w:val="continuous"/>
          <w:pgSz w:w="12240" w:h="15840"/>
          <w:pgMar w:top="1440" w:right="1440" w:bottom="1440" w:left="1440" w:header="720" w:footer="720" w:gutter="0"/>
          <w:cols w:num="2" w:space="720"/>
          <w:docGrid w:linePitch="360"/>
        </w:sectPr>
      </w:pPr>
    </w:p>
    <w:p w:rsidR="00CD45FD" w:rsidRDefault="00CD45FD" w:rsidP="00485C78">
      <w:pPr>
        <w:rPr>
          <w:b/>
        </w:rPr>
      </w:pPr>
    </w:p>
    <w:p w:rsidR="00485C78" w:rsidRPr="00812CF8" w:rsidRDefault="00485C78" w:rsidP="00485C78">
      <w:pPr>
        <w:rPr>
          <w:b/>
          <w:vertAlign w:val="superscript"/>
        </w:rPr>
      </w:pPr>
      <w:r>
        <w:rPr>
          <w:b/>
        </w:rPr>
        <w:lastRenderedPageBreak/>
        <w:t>Notes</w:t>
      </w:r>
      <w:r>
        <w:rPr>
          <w:b/>
          <w:vertAlign w:val="superscript"/>
        </w:rPr>
        <w:t>1</w:t>
      </w:r>
    </w:p>
    <w:p w:rsidR="007D421B" w:rsidRPr="00D60D87" w:rsidRDefault="007D421B" w:rsidP="0070395B">
      <w:pPr>
        <w:pStyle w:val="NoSpacing"/>
        <w:numPr>
          <w:ilvl w:val="0"/>
          <w:numId w:val="15"/>
        </w:numPr>
        <w:rPr>
          <w:rFonts w:cstheme="minorHAnsi"/>
        </w:rPr>
      </w:pPr>
      <w:r w:rsidRPr="00D60D87">
        <w:rPr>
          <w:rFonts w:cstheme="minorHAnsi"/>
        </w:rPr>
        <w:t>Doug – we are going to walk through the recommendation for Self-</w:t>
      </w:r>
      <w:r w:rsidR="00710304" w:rsidRPr="00D60D87">
        <w:rPr>
          <w:rFonts w:cstheme="minorHAnsi"/>
        </w:rPr>
        <w:t xml:space="preserve">Management. </w:t>
      </w:r>
      <w:r w:rsidRPr="00D60D87">
        <w:rPr>
          <w:rFonts w:cstheme="minorHAnsi"/>
        </w:rPr>
        <w:t>There might need to be a workgroup after June 20 to work on the contract language</w:t>
      </w:r>
      <w:r w:rsidR="00E164A1" w:rsidRPr="00D60D87">
        <w:rPr>
          <w:rFonts w:cstheme="minorHAnsi"/>
        </w:rPr>
        <w:t xml:space="preserve"> subsequent to receiving the BPA proposal</w:t>
      </w:r>
      <w:r w:rsidRPr="00D60D87">
        <w:rPr>
          <w:rFonts w:cstheme="minorHAnsi"/>
        </w:rPr>
        <w:t>.</w:t>
      </w:r>
    </w:p>
    <w:p w:rsidR="007D421B" w:rsidRPr="00D60D87" w:rsidRDefault="007D421B" w:rsidP="0070395B">
      <w:pPr>
        <w:pStyle w:val="NoSpacing"/>
        <w:numPr>
          <w:ilvl w:val="0"/>
          <w:numId w:val="15"/>
        </w:numPr>
        <w:rPr>
          <w:rFonts w:cstheme="minorHAnsi"/>
        </w:rPr>
      </w:pPr>
      <w:r w:rsidRPr="00D60D87">
        <w:rPr>
          <w:rFonts w:cstheme="minorHAnsi"/>
        </w:rPr>
        <w:t xml:space="preserve">Doug – we wrote a pretty extensive recommendation for this because it needs a lot of detail. </w:t>
      </w:r>
      <w:r w:rsidR="001E6E60" w:rsidRPr="00D60D87">
        <w:rPr>
          <w:rFonts w:cstheme="minorHAnsi"/>
        </w:rPr>
        <w:t>There is language in there about moving back to expense, the second point is the “Billing Credit</w:t>
      </w:r>
      <w:r w:rsidR="002850F7" w:rsidRPr="00D60D87">
        <w:rPr>
          <w:rFonts w:cstheme="minorHAnsi"/>
        </w:rPr>
        <w:t>”</w:t>
      </w:r>
      <w:r w:rsidR="00E169DF" w:rsidRPr="00D60D87">
        <w:rPr>
          <w:rFonts w:cstheme="minorHAnsi"/>
        </w:rPr>
        <w:t xml:space="preserve">.  Both are </w:t>
      </w:r>
      <w:r w:rsidR="002850F7" w:rsidRPr="00D60D87">
        <w:rPr>
          <w:rFonts w:cstheme="minorHAnsi"/>
        </w:rPr>
        <w:t>recomme</w:t>
      </w:r>
      <w:r w:rsidR="006A3FF9" w:rsidRPr="00D60D87">
        <w:rPr>
          <w:rFonts w:cstheme="minorHAnsi"/>
        </w:rPr>
        <w:t>ndation</w:t>
      </w:r>
      <w:r w:rsidR="00E169DF" w:rsidRPr="00D60D87">
        <w:rPr>
          <w:rFonts w:cstheme="minorHAnsi"/>
        </w:rPr>
        <w:t>s</w:t>
      </w:r>
      <w:r w:rsidR="006A3FF9" w:rsidRPr="00D60D87">
        <w:rPr>
          <w:rFonts w:cstheme="minorHAnsi"/>
        </w:rPr>
        <w:t xml:space="preserve">. There are four </w:t>
      </w:r>
      <w:r w:rsidR="002850F7" w:rsidRPr="00D60D87">
        <w:rPr>
          <w:rFonts w:cstheme="minorHAnsi"/>
        </w:rPr>
        <w:t>alternative views that are included in the recommendation</w:t>
      </w:r>
      <w:r w:rsidR="00E169DF" w:rsidRPr="00D60D87">
        <w:rPr>
          <w:rFonts w:cstheme="minorHAnsi"/>
        </w:rPr>
        <w:t xml:space="preserve"> as well</w:t>
      </w:r>
      <w:r w:rsidR="002850F7" w:rsidRPr="00D60D87">
        <w:rPr>
          <w:rFonts w:cstheme="minorHAnsi"/>
        </w:rPr>
        <w:t xml:space="preserve">. </w:t>
      </w:r>
    </w:p>
    <w:p w:rsidR="002850F7" w:rsidRPr="00D60D87" w:rsidRDefault="002850F7" w:rsidP="0070395B">
      <w:pPr>
        <w:pStyle w:val="NoSpacing"/>
        <w:numPr>
          <w:ilvl w:val="0"/>
          <w:numId w:val="15"/>
        </w:numPr>
        <w:rPr>
          <w:rFonts w:cstheme="minorHAnsi"/>
        </w:rPr>
      </w:pPr>
      <w:r w:rsidRPr="00D60D87">
        <w:rPr>
          <w:rFonts w:cstheme="minorHAnsi"/>
        </w:rPr>
        <w:t xml:space="preserve">Matt – Could we get some sort of gauge from the workgroup on the interest </w:t>
      </w:r>
      <w:r w:rsidR="00E169DF" w:rsidRPr="00D60D87">
        <w:rPr>
          <w:rFonts w:cstheme="minorHAnsi"/>
        </w:rPr>
        <w:t>to</w:t>
      </w:r>
      <w:r w:rsidRPr="00D60D87">
        <w:rPr>
          <w:rFonts w:cstheme="minorHAnsi"/>
        </w:rPr>
        <w:t xml:space="preserve"> a move to</w:t>
      </w:r>
      <w:r w:rsidR="00E169DF" w:rsidRPr="00D60D87">
        <w:rPr>
          <w:rFonts w:cstheme="minorHAnsi"/>
        </w:rPr>
        <w:t>wards</w:t>
      </w:r>
      <w:r w:rsidRPr="00D60D87">
        <w:rPr>
          <w:rFonts w:cstheme="minorHAnsi"/>
        </w:rPr>
        <w:t xml:space="preserve"> </w:t>
      </w:r>
      <w:r w:rsidR="00CB65C1" w:rsidRPr="00D60D87">
        <w:rPr>
          <w:rFonts w:cstheme="minorHAnsi"/>
        </w:rPr>
        <w:t>expense?</w:t>
      </w:r>
    </w:p>
    <w:p w:rsidR="00906C88" w:rsidRPr="00D60D87" w:rsidRDefault="00906C88" w:rsidP="0070395B">
      <w:pPr>
        <w:pStyle w:val="NoSpacing"/>
        <w:numPr>
          <w:ilvl w:val="0"/>
          <w:numId w:val="15"/>
        </w:numPr>
        <w:rPr>
          <w:rFonts w:cstheme="minorHAnsi"/>
        </w:rPr>
      </w:pPr>
      <w:r w:rsidRPr="00D60D87">
        <w:rPr>
          <w:rFonts w:cstheme="minorHAnsi"/>
        </w:rPr>
        <w:t xml:space="preserve">Doug – Ok. That is a fair ask.  </w:t>
      </w:r>
    </w:p>
    <w:p w:rsidR="00906C88" w:rsidRPr="00D60D87" w:rsidRDefault="00505CF5" w:rsidP="0070395B">
      <w:pPr>
        <w:pStyle w:val="NoSpacing"/>
        <w:numPr>
          <w:ilvl w:val="0"/>
          <w:numId w:val="15"/>
        </w:numPr>
        <w:rPr>
          <w:rFonts w:cstheme="minorHAnsi"/>
        </w:rPr>
      </w:pPr>
      <w:r>
        <w:rPr>
          <w:rFonts w:cstheme="minorHAnsi"/>
        </w:rPr>
        <w:t>Person 3</w:t>
      </w:r>
      <w:r w:rsidR="00906C88" w:rsidRPr="00D60D87">
        <w:rPr>
          <w:rFonts w:cstheme="minorHAnsi"/>
        </w:rPr>
        <w:t xml:space="preserve"> – there was discussion about this yesterday at PPC. </w:t>
      </w:r>
      <w:r w:rsidR="00CB65C1" w:rsidRPr="00D60D87">
        <w:rPr>
          <w:rFonts w:cstheme="minorHAnsi"/>
        </w:rPr>
        <w:t>There</w:t>
      </w:r>
      <w:r w:rsidR="00906C88" w:rsidRPr="00D60D87">
        <w:rPr>
          <w:rFonts w:cstheme="minorHAnsi"/>
        </w:rPr>
        <w:t xml:space="preserve"> was support for this. I think it would be helpful to flesh this out</w:t>
      </w:r>
      <w:r w:rsidR="00B00D24" w:rsidRPr="00D60D87">
        <w:rPr>
          <w:rFonts w:cstheme="minorHAnsi"/>
        </w:rPr>
        <w:t xml:space="preserve"> and </w:t>
      </w:r>
      <w:r w:rsidR="00610493" w:rsidRPr="00D60D87">
        <w:rPr>
          <w:rFonts w:cstheme="minorHAnsi"/>
        </w:rPr>
        <w:t>see</w:t>
      </w:r>
      <w:r w:rsidR="00CB65C1" w:rsidRPr="00D60D87">
        <w:rPr>
          <w:rFonts w:cstheme="minorHAnsi"/>
        </w:rPr>
        <w:t xml:space="preserve"> how</w:t>
      </w:r>
      <w:r w:rsidR="00B00D24" w:rsidRPr="00D60D87">
        <w:rPr>
          <w:rFonts w:cstheme="minorHAnsi"/>
        </w:rPr>
        <w:t xml:space="preserve"> much support there is for moving back to expense.</w:t>
      </w:r>
    </w:p>
    <w:p w:rsidR="00B00D24" w:rsidRPr="00D60D87" w:rsidRDefault="00B00D24" w:rsidP="0070395B">
      <w:pPr>
        <w:pStyle w:val="NoSpacing"/>
        <w:numPr>
          <w:ilvl w:val="0"/>
          <w:numId w:val="15"/>
        </w:numPr>
        <w:rPr>
          <w:rFonts w:cstheme="minorHAnsi"/>
        </w:rPr>
      </w:pPr>
      <w:r w:rsidRPr="00D60D87">
        <w:rPr>
          <w:rFonts w:cstheme="minorHAnsi"/>
        </w:rPr>
        <w:t xml:space="preserve">Margaret Ryan, Mary Smith and Bo Downen support it </w:t>
      </w:r>
    </w:p>
    <w:p w:rsidR="00B00D24" w:rsidRPr="00D60D87" w:rsidRDefault="00505CF5" w:rsidP="0070395B">
      <w:pPr>
        <w:pStyle w:val="NoSpacing"/>
        <w:numPr>
          <w:ilvl w:val="0"/>
          <w:numId w:val="15"/>
        </w:numPr>
        <w:rPr>
          <w:rFonts w:cstheme="minorHAnsi"/>
        </w:rPr>
      </w:pPr>
      <w:r>
        <w:rPr>
          <w:rFonts w:cstheme="minorHAnsi"/>
        </w:rPr>
        <w:t>Person 20</w:t>
      </w:r>
      <w:r w:rsidR="00B00D24" w:rsidRPr="00D60D87">
        <w:rPr>
          <w:rFonts w:cstheme="minorHAnsi"/>
        </w:rPr>
        <w:t xml:space="preserve"> – It would be expensive to move back. How would we figure out a way to address that? Would it be here in the group?</w:t>
      </w:r>
    </w:p>
    <w:p w:rsidR="00B00D24" w:rsidRPr="00D60D87" w:rsidRDefault="00B00D24" w:rsidP="0070395B">
      <w:pPr>
        <w:pStyle w:val="NoSpacing"/>
        <w:numPr>
          <w:ilvl w:val="0"/>
          <w:numId w:val="15"/>
        </w:numPr>
        <w:rPr>
          <w:rFonts w:cstheme="minorHAnsi"/>
        </w:rPr>
      </w:pPr>
      <w:r w:rsidRPr="00D60D87">
        <w:rPr>
          <w:rFonts w:cstheme="minorHAnsi"/>
        </w:rPr>
        <w:t xml:space="preserve">Doug – there is a way to figure out how to make that more gradual so it doesn’t hit all at once. This would be a workgroup expression to </w:t>
      </w:r>
      <w:r w:rsidR="001C7DA1" w:rsidRPr="00D60D87">
        <w:rPr>
          <w:rFonts w:cstheme="minorHAnsi"/>
        </w:rPr>
        <w:t>maybe have BPA do it in a stepwise fashion</w:t>
      </w:r>
      <w:r w:rsidR="00610493" w:rsidRPr="00D60D87">
        <w:rPr>
          <w:rFonts w:cstheme="minorHAnsi"/>
        </w:rPr>
        <w:t>,</w:t>
      </w:r>
      <w:r w:rsidR="001C7DA1" w:rsidRPr="00D60D87">
        <w:rPr>
          <w:rFonts w:cstheme="minorHAnsi"/>
        </w:rPr>
        <w:t xml:space="preserve"> not all in one </w:t>
      </w:r>
      <w:r w:rsidR="00CB65C1" w:rsidRPr="00D60D87">
        <w:rPr>
          <w:rFonts w:cstheme="minorHAnsi"/>
        </w:rPr>
        <w:t>rate period</w:t>
      </w:r>
      <w:r w:rsidR="001C7DA1" w:rsidRPr="00D60D87">
        <w:rPr>
          <w:rFonts w:cstheme="minorHAnsi"/>
        </w:rPr>
        <w:t>.</w:t>
      </w:r>
    </w:p>
    <w:p w:rsidR="001C7DA1" w:rsidRPr="00D60D87" w:rsidRDefault="00505CF5" w:rsidP="0070395B">
      <w:pPr>
        <w:pStyle w:val="NoSpacing"/>
        <w:numPr>
          <w:ilvl w:val="0"/>
          <w:numId w:val="15"/>
        </w:numPr>
        <w:rPr>
          <w:rFonts w:cstheme="minorHAnsi"/>
        </w:rPr>
      </w:pPr>
      <w:r>
        <w:rPr>
          <w:rFonts w:cstheme="minorHAnsi"/>
        </w:rPr>
        <w:t>Person 20</w:t>
      </w:r>
      <w:r w:rsidR="001C7DA1" w:rsidRPr="00D60D87">
        <w:rPr>
          <w:rFonts w:cstheme="minorHAnsi"/>
        </w:rPr>
        <w:t xml:space="preserve"> – support for the move back to expense.</w:t>
      </w:r>
    </w:p>
    <w:p w:rsidR="001C7DA1" w:rsidRPr="00D60D87" w:rsidRDefault="00505CF5" w:rsidP="0070395B">
      <w:pPr>
        <w:pStyle w:val="NoSpacing"/>
        <w:numPr>
          <w:ilvl w:val="0"/>
          <w:numId w:val="15"/>
        </w:numPr>
        <w:rPr>
          <w:rFonts w:cstheme="minorHAnsi"/>
        </w:rPr>
      </w:pPr>
      <w:r>
        <w:rPr>
          <w:rFonts w:cstheme="minorHAnsi"/>
        </w:rPr>
        <w:t>Person 21</w:t>
      </w:r>
      <w:r w:rsidR="001C7DA1" w:rsidRPr="00D60D87">
        <w:rPr>
          <w:rFonts w:cstheme="minorHAnsi"/>
        </w:rPr>
        <w:t xml:space="preserve"> – we are interested in looking at moving expense back but we are concerned about the rate impact but especially in the next rate case </w:t>
      </w:r>
      <w:r w:rsidR="00CB65C1" w:rsidRPr="00D60D87">
        <w:rPr>
          <w:rFonts w:cstheme="minorHAnsi"/>
        </w:rPr>
        <w:t>where</w:t>
      </w:r>
      <w:r w:rsidR="001C7DA1" w:rsidRPr="00D60D87">
        <w:rPr>
          <w:rFonts w:cstheme="minorHAnsi"/>
        </w:rPr>
        <w:t xml:space="preserve"> there is </w:t>
      </w:r>
      <w:r w:rsidR="00CB65C1" w:rsidRPr="00D60D87">
        <w:rPr>
          <w:rFonts w:cstheme="minorHAnsi"/>
        </w:rPr>
        <w:t>already</w:t>
      </w:r>
      <w:r w:rsidR="001C7DA1" w:rsidRPr="00D60D87">
        <w:rPr>
          <w:rFonts w:cstheme="minorHAnsi"/>
        </w:rPr>
        <w:t xml:space="preserve"> a significant increase. </w:t>
      </w:r>
      <w:r w:rsidR="00610493" w:rsidRPr="00D60D87">
        <w:rPr>
          <w:rFonts w:cstheme="minorHAnsi"/>
        </w:rPr>
        <w:t xml:space="preserve">  Question is when is the right time?</w:t>
      </w:r>
    </w:p>
    <w:p w:rsidR="001C7DA1" w:rsidRPr="00D60D87" w:rsidRDefault="00505CF5" w:rsidP="0070395B">
      <w:pPr>
        <w:pStyle w:val="NoSpacing"/>
        <w:numPr>
          <w:ilvl w:val="0"/>
          <w:numId w:val="15"/>
        </w:numPr>
        <w:rPr>
          <w:rFonts w:cstheme="minorHAnsi"/>
        </w:rPr>
      </w:pPr>
      <w:r>
        <w:rPr>
          <w:rFonts w:cstheme="minorHAnsi"/>
        </w:rPr>
        <w:t>Person 3</w:t>
      </w:r>
      <w:r w:rsidR="001C7DA1" w:rsidRPr="00D60D87">
        <w:rPr>
          <w:rFonts w:cstheme="minorHAnsi"/>
        </w:rPr>
        <w:t xml:space="preserve"> </w:t>
      </w:r>
      <w:r w:rsidR="0066568E" w:rsidRPr="00D60D87">
        <w:rPr>
          <w:rFonts w:cstheme="minorHAnsi"/>
        </w:rPr>
        <w:t>–</w:t>
      </w:r>
      <w:r w:rsidR="001C7DA1" w:rsidRPr="00D60D87">
        <w:rPr>
          <w:rFonts w:cstheme="minorHAnsi"/>
        </w:rPr>
        <w:t xml:space="preserve"> </w:t>
      </w:r>
      <w:r w:rsidR="0066568E" w:rsidRPr="00D60D87">
        <w:rPr>
          <w:rFonts w:cstheme="minorHAnsi"/>
        </w:rPr>
        <w:t>Let’s add that</w:t>
      </w:r>
      <w:r w:rsidR="00582631" w:rsidRPr="00D60D87">
        <w:rPr>
          <w:rFonts w:cstheme="minorHAnsi"/>
        </w:rPr>
        <w:t xml:space="preserve"> to the language (stepwise and timing)</w:t>
      </w:r>
    </w:p>
    <w:p w:rsidR="0066568E" w:rsidRPr="00D60D87" w:rsidRDefault="00705F73" w:rsidP="0070395B">
      <w:pPr>
        <w:pStyle w:val="NoSpacing"/>
        <w:numPr>
          <w:ilvl w:val="0"/>
          <w:numId w:val="15"/>
        </w:numPr>
        <w:rPr>
          <w:rFonts w:cstheme="minorHAnsi"/>
        </w:rPr>
      </w:pPr>
      <w:r>
        <w:rPr>
          <w:rFonts w:cstheme="minorHAnsi"/>
        </w:rPr>
        <w:t>Person 4</w:t>
      </w:r>
      <w:r w:rsidR="0066568E" w:rsidRPr="00D60D87">
        <w:rPr>
          <w:rFonts w:cstheme="minorHAnsi"/>
        </w:rPr>
        <w:t xml:space="preserve"> – we need to see the rate impact analysis from BPA and we would want it to be for all of public power, before we would have an opinion.</w:t>
      </w:r>
      <w:r w:rsidR="00582631" w:rsidRPr="00D60D87">
        <w:rPr>
          <w:rFonts w:cstheme="minorHAnsi"/>
        </w:rPr>
        <w:t xml:space="preserve"> It’s all of IPR, CIR and </w:t>
      </w:r>
      <w:r w:rsidR="00610493" w:rsidRPr="00D60D87">
        <w:rPr>
          <w:rFonts w:cstheme="minorHAnsi"/>
        </w:rPr>
        <w:t>Debt M</w:t>
      </w:r>
      <w:r w:rsidR="00582631" w:rsidRPr="00D60D87">
        <w:rPr>
          <w:rFonts w:cstheme="minorHAnsi"/>
        </w:rPr>
        <w:t>anagement.</w:t>
      </w:r>
    </w:p>
    <w:p w:rsidR="0066568E" w:rsidRPr="00D60D87" w:rsidRDefault="00705F73" w:rsidP="0070395B">
      <w:pPr>
        <w:pStyle w:val="NoSpacing"/>
        <w:numPr>
          <w:ilvl w:val="0"/>
          <w:numId w:val="15"/>
        </w:numPr>
        <w:rPr>
          <w:rFonts w:cstheme="minorHAnsi"/>
        </w:rPr>
      </w:pPr>
      <w:r>
        <w:rPr>
          <w:rFonts w:cstheme="minorHAnsi"/>
        </w:rPr>
        <w:t>Person 7</w:t>
      </w:r>
      <w:r w:rsidR="0066568E" w:rsidRPr="00D60D87">
        <w:rPr>
          <w:rFonts w:cstheme="minorHAnsi"/>
        </w:rPr>
        <w:t xml:space="preserve"> – CIR and IPR both</w:t>
      </w:r>
    </w:p>
    <w:p w:rsidR="0066568E" w:rsidRPr="00D60D87" w:rsidRDefault="0066568E" w:rsidP="0070395B">
      <w:pPr>
        <w:pStyle w:val="NoSpacing"/>
        <w:numPr>
          <w:ilvl w:val="0"/>
          <w:numId w:val="15"/>
        </w:numPr>
        <w:rPr>
          <w:rFonts w:cstheme="minorHAnsi"/>
        </w:rPr>
      </w:pPr>
      <w:r w:rsidRPr="00D60D87">
        <w:rPr>
          <w:rFonts w:cstheme="minorHAnsi"/>
        </w:rPr>
        <w:t>Doug – it circles back at the end of the IPR</w:t>
      </w:r>
    </w:p>
    <w:p w:rsidR="00582631" w:rsidRPr="00D60D87" w:rsidRDefault="00705F73" w:rsidP="0070395B">
      <w:pPr>
        <w:pStyle w:val="NoSpacing"/>
        <w:numPr>
          <w:ilvl w:val="0"/>
          <w:numId w:val="15"/>
        </w:numPr>
        <w:rPr>
          <w:rFonts w:cstheme="minorHAnsi"/>
        </w:rPr>
      </w:pPr>
      <w:r>
        <w:rPr>
          <w:rFonts w:cstheme="minorHAnsi"/>
        </w:rPr>
        <w:t>Person 2</w:t>
      </w:r>
      <w:r w:rsidR="00582631" w:rsidRPr="00D60D87">
        <w:rPr>
          <w:rFonts w:cstheme="minorHAnsi"/>
        </w:rPr>
        <w:t xml:space="preserve"> – </w:t>
      </w:r>
      <w:r w:rsidR="00610493" w:rsidRPr="00D60D87">
        <w:rPr>
          <w:rFonts w:cstheme="minorHAnsi"/>
        </w:rPr>
        <w:t>i</w:t>
      </w:r>
      <w:r w:rsidR="00582631" w:rsidRPr="00D60D87">
        <w:rPr>
          <w:rFonts w:cstheme="minorHAnsi"/>
        </w:rPr>
        <w:t>n the capitalization it would be important to SNOPUD that the move to expense would not leave any debt left after 2028. “</w:t>
      </w:r>
      <w:r w:rsidR="00CB65C1" w:rsidRPr="00D60D87">
        <w:rPr>
          <w:rFonts w:cstheme="minorHAnsi"/>
        </w:rPr>
        <w:t>And</w:t>
      </w:r>
      <w:r w:rsidR="00582631" w:rsidRPr="00D60D87">
        <w:rPr>
          <w:rFonts w:cstheme="minorHAnsi"/>
        </w:rPr>
        <w:t xml:space="preserve"> then find an approach for utilities to self-manage their conservation incentive amounts,” SNOPUD doesn’t agree with that part of the recommendation—we want to do it now. I don’t see any reason why it can’t happen now.</w:t>
      </w:r>
    </w:p>
    <w:p w:rsidR="00A07541" w:rsidRPr="00D60D87" w:rsidRDefault="00705F73" w:rsidP="0070395B">
      <w:pPr>
        <w:pStyle w:val="NoSpacing"/>
        <w:numPr>
          <w:ilvl w:val="0"/>
          <w:numId w:val="15"/>
        </w:numPr>
        <w:rPr>
          <w:rFonts w:cstheme="minorHAnsi"/>
        </w:rPr>
      </w:pPr>
      <w:r>
        <w:rPr>
          <w:rFonts w:cstheme="minorHAnsi"/>
        </w:rPr>
        <w:t>Person 5</w:t>
      </w:r>
      <w:r w:rsidR="00582631" w:rsidRPr="00D60D87">
        <w:rPr>
          <w:rFonts w:cstheme="minorHAnsi"/>
        </w:rPr>
        <w:t xml:space="preserve"> </w:t>
      </w:r>
      <w:r w:rsidR="007E604E" w:rsidRPr="00D60D87">
        <w:rPr>
          <w:rFonts w:cstheme="minorHAnsi"/>
        </w:rPr>
        <w:t>–</w:t>
      </w:r>
      <w:r w:rsidR="00582631" w:rsidRPr="00D60D87">
        <w:rPr>
          <w:rFonts w:cstheme="minorHAnsi"/>
        </w:rPr>
        <w:t xml:space="preserve"> </w:t>
      </w:r>
      <w:r w:rsidR="007E604E" w:rsidRPr="00D60D87">
        <w:rPr>
          <w:rFonts w:cstheme="minorHAnsi"/>
        </w:rPr>
        <w:t xml:space="preserve">I have concerns about using the words “Appropriate and </w:t>
      </w:r>
      <w:r w:rsidR="00414F70" w:rsidRPr="00D60D87">
        <w:rPr>
          <w:rFonts w:cstheme="minorHAnsi"/>
        </w:rPr>
        <w:t>S</w:t>
      </w:r>
      <w:r w:rsidR="007E604E" w:rsidRPr="00D60D87">
        <w:rPr>
          <w:rFonts w:cstheme="minorHAnsi"/>
        </w:rPr>
        <w:t>tepwise.</w:t>
      </w:r>
      <w:r w:rsidR="00386926" w:rsidRPr="00D60D87">
        <w:rPr>
          <w:rFonts w:cstheme="minorHAnsi"/>
        </w:rPr>
        <w:t>”</w:t>
      </w:r>
      <w:r w:rsidR="007E604E" w:rsidRPr="00D60D87">
        <w:rPr>
          <w:rFonts w:cstheme="minorHAnsi"/>
        </w:rPr>
        <w:t xml:space="preserve"> We need to be clear that if we keep with capital there are rate impacts. </w:t>
      </w:r>
    </w:p>
    <w:p w:rsidR="00610493" w:rsidRPr="00D60D87" w:rsidRDefault="00705F73" w:rsidP="0070395B">
      <w:pPr>
        <w:pStyle w:val="NoSpacing"/>
        <w:numPr>
          <w:ilvl w:val="0"/>
          <w:numId w:val="15"/>
        </w:numPr>
        <w:rPr>
          <w:rFonts w:cstheme="minorHAnsi"/>
        </w:rPr>
      </w:pPr>
      <w:r>
        <w:rPr>
          <w:rFonts w:cstheme="minorHAnsi"/>
        </w:rPr>
        <w:t>Person 7</w:t>
      </w:r>
      <w:r w:rsidR="00A07541" w:rsidRPr="00D60D87">
        <w:rPr>
          <w:rFonts w:cstheme="minorHAnsi"/>
        </w:rPr>
        <w:t xml:space="preserve"> – the sooner we can do this the better. The longer we wait the bigger the bow wave and then layer on top of that the</w:t>
      </w:r>
      <w:r w:rsidR="00610493" w:rsidRPr="00D60D87">
        <w:rPr>
          <w:rFonts w:cstheme="minorHAnsi"/>
        </w:rPr>
        <w:t xml:space="preserve"> potential rate increases</w:t>
      </w:r>
    </w:p>
    <w:p w:rsidR="00582631" w:rsidRPr="00D60D87" w:rsidRDefault="00CB65C1" w:rsidP="0070395B">
      <w:pPr>
        <w:pStyle w:val="NoSpacing"/>
        <w:numPr>
          <w:ilvl w:val="0"/>
          <w:numId w:val="15"/>
        </w:numPr>
        <w:rPr>
          <w:rFonts w:cstheme="minorHAnsi"/>
        </w:rPr>
      </w:pPr>
      <w:r w:rsidRPr="00D60D87">
        <w:rPr>
          <w:rFonts w:cstheme="minorHAnsi"/>
        </w:rPr>
        <w:t xml:space="preserve">Matt – in the run up to the next power sales contract in 2026, the question is whether you capitalize or expense.  </w:t>
      </w:r>
      <w:r w:rsidR="001C10D7" w:rsidRPr="00D60D87">
        <w:rPr>
          <w:rFonts w:cstheme="minorHAnsi"/>
        </w:rPr>
        <w:t xml:space="preserve">One option is that in 2028 you are no longer carrying any debt but what </w:t>
      </w:r>
      <w:r w:rsidR="00610493" w:rsidRPr="00D60D87">
        <w:rPr>
          <w:rFonts w:cstheme="minorHAnsi"/>
        </w:rPr>
        <w:t xml:space="preserve">that </w:t>
      </w:r>
      <w:r w:rsidR="001C10D7" w:rsidRPr="00D60D87">
        <w:rPr>
          <w:rFonts w:cstheme="minorHAnsi"/>
        </w:rPr>
        <w:t>might that mean for other</w:t>
      </w:r>
      <w:r w:rsidR="00610493" w:rsidRPr="00D60D87">
        <w:rPr>
          <w:rFonts w:cstheme="minorHAnsi"/>
        </w:rPr>
        <w:t>s</w:t>
      </w:r>
      <w:r w:rsidR="001C10D7" w:rsidRPr="00D60D87">
        <w:rPr>
          <w:rFonts w:cstheme="minorHAnsi"/>
        </w:rPr>
        <w:t xml:space="preserve"> …</w:t>
      </w:r>
    </w:p>
    <w:p w:rsidR="001C10D7" w:rsidRPr="00D60D87" w:rsidRDefault="00705F73" w:rsidP="0070395B">
      <w:pPr>
        <w:pStyle w:val="NoSpacing"/>
        <w:numPr>
          <w:ilvl w:val="0"/>
          <w:numId w:val="15"/>
        </w:numPr>
        <w:rPr>
          <w:rFonts w:cstheme="minorHAnsi"/>
        </w:rPr>
      </w:pPr>
      <w:r>
        <w:rPr>
          <w:rFonts w:cstheme="minorHAnsi"/>
        </w:rPr>
        <w:t>Person 2</w:t>
      </w:r>
      <w:r w:rsidR="001C10D7" w:rsidRPr="00D60D87">
        <w:rPr>
          <w:rFonts w:cstheme="minorHAnsi"/>
        </w:rPr>
        <w:t xml:space="preserve"> – we would like BPA to prepare some analysis on that. We don’t want to be </w:t>
      </w:r>
      <w:r w:rsidR="00CB65C1" w:rsidRPr="00D60D87">
        <w:rPr>
          <w:rFonts w:cstheme="minorHAnsi"/>
        </w:rPr>
        <w:t>responsible</w:t>
      </w:r>
      <w:r w:rsidR="001C10D7" w:rsidRPr="00D60D87">
        <w:rPr>
          <w:rFonts w:cstheme="minorHAnsi"/>
        </w:rPr>
        <w:t xml:space="preserve"> for the debt that others are carrying on our behalf when we didn’t ask them to borrow on our behalf.</w:t>
      </w:r>
    </w:p>
    <w:p w:rsidR="001C10D7" w:rsidRPr="00D60D87" w:rsidRDefault="001C10D7" w:rsidP="0070395B">
      <w:pPr>
        <w:pStyle w:val="NoSpacing"/>
        <w:numPr>
          <w:ilvl w:val="0"/>
          <w:numId w:val="15"/>
        </w:numPr>
        <w:rPr>
          <w:rFonts w:cstheme="minorHAnsi"/>
        </w:rPr>
      </w:pPr>
      <w:r w:rsidRPr="00D60D87">
        <w:rPr>
          <w:rFonts w:cstheme="minorHAnsi"/>
        </w:rPr>
        <w:t xml:space="preserve">Doug </w:t>
      </w:r>
      <w:r w:rsidR="006B5D88" w:rsidRPr="00D60D87">
        <w:rPr>
          <w:rFonts w:cstheme="minorHAnsi"/>
        </w:rPr>
        <w:t>–</w:t>
      </w:r>
      <w:r w:rsidRPr="00D60D87">
        <w:rPr>
          <w:rFonts w:cstheme="minorHAnsi"/>
        </w:rPr>
        <w:t xml:space="preserve"> </w:t>
      </w:r>
      <w:r w:rsidR="006B5D88" w:rsidRPr="00D60D87">
        <w:rPr>
          <w:rFonts w:cstheme="minorHAnsi"/>
        </w:rPr>
        <w:t>Do you view that the moving to the billing credits would lose support for the move to expense</w:t>
      </w:r>
      <w:r w:rsidR="00C16FB4" w:rsidRPr="00D60D87">
        <w:rPr>
          <w:rFonts w:cstheme="minorHAnsi"/>
        </w:rPr>
        <w:t>?</w:t>
      </w:r>
    </w:p>
    <w:p w:rsidR="00C16FB4" w:rsidRPr="00D60D87" w:rsidRDefault="00705F73" w:rsidP="0070395B">
      <w:pPr>
        <w:pStyle w:val="NoSpacing"/>
        <w:numPr>
          <w:ilvl w:val="0"/>
          <w:numId w:val="15"/>
        </w:numPr>
        <w:rPr>
          <w:rFonts w:cstheme="minorHAnsi"/>
        </w:rPr>
      </w:pPr>
      <w:r>
        <w:rPr>
          <w:rFonts w:cstheme="minorHAnsi"/>
        </w:rPr>
        <w:t>Person 4</w:t>
      </w:r>
      <w:r w:rsidR="00C16FB4" w:rsidRPr="00D60D87">
        <w:rPr>
          <w:rFonts w:cstheme="minorHAnsi"/>
        </w:rPr>
        <w:t xml:space="preserve"> – we just want all of public power to move together to expense.</w:t>
      </w:r>
    </w:p>
    <w:p w:rsidR="00C16FB4" w:rsidRPr="00D60D87" w:rsidRDefault="00705F73" w:rsidP="0070395B">
      <w:pPr>
        <w:pStyle w:val="NoSpacing"/>
        <w:numPr>
          <w:ilvl w:val="0"/>
          <w:numId w:val="15"/>
        </w:numPr>
        <w:rPr>
          <w:rFonts w:cstheme="minorHAnsi"/>
        </w:rPr>
      </w:pPr>
      <w:r>
        <w:rPr>
          <w:rFonts w:cstheme="minorHAnsi"/>
        </w:rPr>
        <w:lastRenderedPageBreak/>
        <w:t>Person 7</w:t>
      </w:r>
      <w:r w:rsidR="00C16FB4" w:rsidRPr="00D60D87">
        <w:rPr>
          <w:rFonts w:cstheme="minorHAnsi"/>
        </w:rPr>
        <w:t xml:space="preserve"> – self-management/billing credits is optional and doesn’t seem administratively burdensome. It is optional. </w:t>
      </w:r>
    </w:p>
    <w:p w:rsidR="00C16FB4" w:rsidRPr="00D60D87" w:rsidRDefault="00705F73" w:rsidP="0070395B">
      <w:pPr>
        <w:pStyle w:val="NoSpacing"/>
        <w:numPr>
          <w:ilvl w:val="0"/>
          <w:numId w:val="15"/>
        </w:numPr>
        <w:rPr>
          <w:rFonts w:cstheme="minorHAnsi"/>
        </w:rPr>
      </w:pPr>
      <w:r>
        <w:rPr>
          <w:rFonts w:cstheme="minorHAnsi"/>
        </w:rPr>
        <w:t>Person 2</w:t>
      </w:r>
      <w:r w:rsidR="00C16FB4" w:rsidRPr="00D60D87">
        <w:rPr>
          <w:rFonts w:cstheme="minorHAnsi"/>
        </w:rPr>
        <w:t xml:space="preserve"> – I’d suggest some words be added to the first paragraph to make the point clear that </w:t>
      </w:r>
      <w:r w:rsidR="00CB65C1" w:rsidRPr="00D60D87">
        <w:rPr>
          <w:rFonts w:cstheme="minorHAnsi"/>
        </w:rPr>
        <w:t>self</w:t>
      </w:r>
      <w:r w:rsidR="00C16FB4" w:rsidRPr="00D60D87">
        <w:rPr>
          <w:rFonts w:cstheme="minorHAnsi"/>
        </w:rPr>
        <w:t>-management is optional.</w:t>
      </w:r>
    </w:p>
    <w:p w:rsidR="00C16FB4" w:rsidRPr="00D60D87" w:rsidRDefault="00505CF5" w:rsidP="0070395B">
      <w:pPr>
        <w:pStyle w:val="NoSpacing"/>
        <w:numPr>
          <w:ilvl w:val="0"/>
          <w:numId w:val="15"/>
        </w:numPr>
        <w:rPr>
          <w:rFonts w:cstheme="minorHAnsi"/>
        </w:rPr>
      </w:pPr>
      <w:r>
        <w:rPr>
          <w:rFonts w:cstheme="minorHAnsi"/>
        </w:rPr>
        <w:t>Person 3</w:t>
      </w:r>
      <w:r w:rsidR="00F348E1" w:rsidRPr="00D60D87">
        <w:rPr>
          <w:rFonts w:cstheme="minorHAnsi"/>
        </w:rPr>
        <w:t xml:space="preserve"> – some in the group think this is an A (self-management) then B (expense</w:t>
      </w:r>
      <w:r w:rsidR="00CB65C1" w:rsidRPr="00D60D87">
        <w:rPr>
          <w:rFonts w:cstheme="minorHAnsi"/>
        </w:rPr>
        <w:t>) others</w:t>
      </w:r>
      <w:r w:rsidR="00F348E1" w:rsidRPr="00D60D87">
        <w:rPr>
          <w:rFonts w:cstheme="minorHAnsi"/>
        </w:rPr>
        <w:t xml:space="preserve"> think that we are supportive of A but it is not required to get us to B.</w:t>
      </w:r>
    </w:p>
    <w:p w:rsidR="00F348E1" w:rsidRPr="00D60D87" w:rsidRDefault="00F348E1" w:rsidP="0070395B">
      <w:pPr>
        <w:pStyle w:val="NoSpacing"/>
        <w:numPr>
          <w:ilvl w:val="0"/>
          <w:numId w:val="15"/>
        </w:numPr>
        <w:rPr>
          <w:rFonts w:cstheme="minorHAnsi"/>
        </w:rPr>
      </w:pPr>
      <w:r w:rsidRPr="00D60D87">
        <w:rPr>
          <w:rFonts w:cstheme="minorHAnsi"/>
        </w:rPr>
        <w:t>Matt – let’s not require “stepwise” because we may come up with a good option that isn’t stepwise. AGREEMENT.</w:t>
      </w:r>
    </w:p>
    <w:p w:rsidR="00B86BA4" w:rsidRPr="00D60D87" w:rsidRDefault="00705F73" w:rsidP="0070395B">
      <w:pPr>
        <w:pStyle w:val="NoSpacing"/>
        <w:numPr>
          <w:ilvl w:val="0"/>
          <w:numId w:val="15"/>
        </w:numPr>
        <w:rPr>
          <w:rFonts w:cstheme="minorHAnsi"/>
        </w:rPr>
      </w:pPr>
      <w:r>
        <w:rPr>
          <w:rFonts w:cstheme="minorHAnsi"/>
        </w:rPr>
        <w:t>Person 10</w:t>
      </w:r>
      <w:r w:rsidR="00B86BA4" w:rsidRPr="00D60D87">
        <w:rPr>
          <w:rFonts w:cstheme="minorHAnsi"/>
        </w:rPr>
        <w:t xml:space="preserve"> – </w:t>
      </w:r>
      <w:r w:rsidR="00F347A6" w:rsidRPr="00D60D87">
        <w:rPr>
          <w:rFonts w:cstheme="minorHAnsi"/>
        </w:rPr>
        <w:t>does billing credit violate the no ‘menu of options’ rule?</w:t>
      </w:r>
    </w:p>
    <w:p w:rsidR="00B86BA4" w:rsidRPr="00D60D87" w:rsidRDefault="00705F73" w:rsidP="0070395B">
      <w:pPr>
        <w:pStyle w:val="NoSpacing"/>
        <w:numPr>
          <w:ilvl w:val="0"/>
          <w:numId w:val="15"/>
        </w:numPr>
        <w:rPr>
          <w:rFonts w:cstheme="minorHAnsi"/>
        </w:rPr>
      </w:pPr>
      <w:r>
        <w:rPr>
          <w:rFonts w:cstheme="minorHAnsi"/>
        </w:rPr>
        <w:t>Person 7</w:t>
      </w:r>
      <w:r w:rsidR="00B86BA4" w:rsidRPr="00D60D87">
        <w:rPr>
          <w:rFonts w:cstheme="minorHAnsi"/>
        </w:rPr>
        <w:t xml:space="preserve"> – I took the no menu of options to mean that BPA is not going to bifurcate the </w:t>
      </w:r>
      <w:r w:rsidR="00557E6E" w:rsidRPr="00D60D87">
        <w:rPr>
          <w:rFonts w:cstheme="minorHAnsi"/>
        </w:rPr>
        <w:t>BPA managed cost.  S</w:t>
      </w:r>
      <w:r w:rsidR="00F347A6" w:rsidRPr="00D60D87">
        <w:rPr>
          <w:rFonts w:cstheme="minorHAnsi"/>
        </w:rPr>
        <w:t xml:space="preserve">ome </w:t>
      </w:r>
      <w:r w:rsidR="00CB65C1" w:rsidRPr="00D60D87">
        <w:rPr>
          <w:rFonts w:cstheme="minorHAnsi"/>
        </w:rPr>
        <w:t>utilities</w:t>
      </w:r>
      <w:r w:rsidR="00F347A6" w:rsidRPr="00D60D87">
        <w:rPr>
          <w:rFonts w:cstheme="minorHAnsi"/>
        </w:rPr>
        <w:t xml:space="preserve"> say </w:t>
      </w:r>
      <w:r w:rsidR="00CB65C1" w:rsidRPr="00D60D87">
        <w:rPr>
          <w:rFonts w:cstheme="minorHAnsi"/>
        </w:rPr>
        <w:t>that</w:t>
      </w:r>
      <w:r w:rsidR="00F347A6" w:rsidRPr="00D60D87">
        <w:rPr>
          <w:rFonts w:cstheme="minorHAnsi"/>
        </w:rPr>
        <w:t xml:space="preserve"> they don’t want to pay for the BPA EE staff because they have their own. </w:t>
      </w:r>
    </w:p>
    <w:p w:rsidR="00F347A6" w:rsidRPr="00D60D87" w:rsidRDefault="00E93721" w:rsidP="0070395B">
      <w:pPr>
        <w:pStyle w:val="NoSpacing"/>
        <w:numPr>
          <w:ilvl w:val="0"/>
          <w:numId w:val="15"/>
        </w:numPr>
        <w:rPr>
          <w:rFonts w:cstheme="minorHAnsi"/>
        </w:rPr>
      </w:pPr>
      <w:r w:rsidRPr="00D60D87">
        <w:rPr>
          <w:rFonts w:cstheme="minorHAnsi"/>
        </w:rPr>
        <w:t xml:space="preserve">Doug – going to </w:t>
      </w:r>
      <w:r w:rsidR="00557E6E" w:rsidRPr="00D60D87">
        <w:rPr>
          <w:rFonts w:cstheme="minorHAnsi"/>
        </w:rPr>
        <w:t xml:space="preserve">add a </w:t>
      </w:r>
      <w:r w:rsidRPr="00D60D87">
        <w:rPr>
          <w:rFonts w:cstheme="minorHAnsi"/>
        </w:rPr>
        <w:t>paragraph about the move to the expense</w:t>
      </w:r>
    </w:p>
    <w:p w:rsidR="00E93721" w:rsidRPr="00D60D87" w:rsidRDefault="00505CF5" w:rsidP="0070395B">
      <w:pPr>
        <w:pStyle w:val="NoSpacing"/>
        <w:numPr>
          <w:ilvl w:val="0"/>
          <w:numId w:val="15"/>
        </w:numPr>
        <w:rPr>
          <w:rFonts w:cstheme="minorHAnsi"/>
        </w:rPr>
      </w:pPr>
      <w:r>
        <w:rPr>
          <w:rFonts w:cstheme="minorHAnsi"/>
        </w:rPr>
        <w:t>Person 21</w:t>
      </w:r>
      <w:r w:rsidR="00E93721" w:rsidRPr="00D60D87">
        <w:rPr>
          <w:rFonts w:cstheme="minorHAnsi"/>
        </w:rPr>
        <w:t xml:space="preserve"> – I don’t’ know if I can support the actual move to expense. I can support the exploration of moving to expense but not support it wi</w:t>
      </w:r>
      <w:r w:rsidR="00256E49" w:rsidRPr="00D60D87">
        <w:rPr>
          <w:rFonts w:cstheme="minorHAnsi"/>
        </w:rPr>
        <w:t>thout knowing the rate impacts.</w:t>
      </w:r>
    </w:p>
    <w:p w:rsidR="00256E49" w:rsidRPr="00D60D87" w:rsidRDefault="00256E49" w:rsidP="0070395B">
      <w:pPr>
        <w:pStyle w:val="NoSpacing"/>
        <w:numPr>
          <w:ilvl w:val="0"/>
          <w:numId w:val="15"/>
        </w:numPr>
        <w:rPr>
          <w:rFonts w:cstheme="minorHAnsi"/>
        </w:rPr>
      </w:pPr>
      <w:r w:rsidRPr="00D60D87">
        <w:rPr>
          <w:rFonts w:cstheme="minorHAnsi"/>
        </w:rPr>
        <w:t xml:space="preserve">Doug </w:t>
      </w:r>
      <w:r w:rsidR="00F500F7" w:rsidRPr="00D60D87">
        <w:rPr>
          <w:rFonts w:cstheme="minorHAnsi"/>
        </w:rPr>
        <w:t>–</w:t>
      </w:r>
      <w:r w:rsidRPr="00D60D87">
        <w:rPr>
          <w:rFonts w:cstheme="minorHAnsi"/>
        </w:rPr>
        <w:t xml:space="preserve"> </w:t>
      </w:r>
      <w:r w:rsidR="00F500F7" w:rsidRPr="00D60D87">
        <w:rPr>
          <w:rFonts w:cstheme="minorHAnsi"/>
        </w:rPr>
        <w:t>we made the distinction that we are only dealing with the capitalization of EEI and not the capitalization of the rest of the EE components (including the other 30% that is capitalized now) because that opens a can of worms.</w:t>
      </w:r>
    </w:p>
    <w:p w:rsidR="00F500F7" w:rsidRPr="00D60D87" w:rsidRDefault="00505CF5" w:rsidP="0070395B">
      <w:pPr>
        <w:pStyle w:val="NoSpacing"/>
        <w:numPr>
          <w:ilvl w:val="0"/>
          <w:numId w:val="15"/>
        </w:numPr>
        <w:rPr>
          <w:rFonts w:cstheme="minorHAnsi"/>
        </w:rPr>
      </w:pPr>
      <w:r>
        <w:rPr>
          <w:rFonts w:cstheme="minorHAnsi"/>
        </w:rPr>
        <w:t>Person 3</w:t>
      </w:r>
      <w:r w:rsidR="00F500F7" w:rsidRPr="00D60D87">
        <w:rPr>
          <w:rFonts w:cstheme="minorHAnsi"/>
        </w:rPr>
        <w:t xml:space="preserve"> – I think if BPA looks at moving back all of the EE components, that’s fine but that’s not what this workgroup was looking at. </w:t>
      </w:r>
      <w:r>
        <w:rPr>
          <w:rFonts w:cstheme="minorHAnsi"/>
        </w:rPr>
        <w:t>Person 3</w:t>
      </w:r>
      <w:r w:rsidR="00F500F7" w:rsidRPr="00D60D87">
        <w:rPr>
          <w:rFonts w:cstheme="minorHAnsi"/>
        </w:rPr>
        <w:t xml:space="preserve"> and </w:t>
      </w:r>
      <w:r w:rsidR="00705F73">
        <w:rPr>
          <w:rFonts w:cstheme="minorHAnsi"/>
        </w:rPr>
        <w:t>Person 2</w:t>
      </w:r>
      <w:r w:rsidR="00F500F7" w:rsidRPr="00D60D87">
        <w:rPr>
          <w:rFonts w:cstheme="minorHAnsi"/>
        </w:rPr>
        <w:t xml:space="preserve"> – a footnote would be appropriate</w:t>
      </w:r>
    </w:p>
    <w:p w:rsidR="00DD316A" w:rsidRPr="00D60D87" w:rsidRDefault="00705F73" w:rsidP="0070395B">
      <w:pPr>
        <w:pStyle w:val="NoSpacing"/>
        <w:numPr>
          <w:ilvl w:val="0"/>
          <w:numId w:val="15"/>
        </w:numPr>
        <w:rPr>
          <w:rFonts w:cstheme="minorHAnsi"/>
        </w:rPr>
      </w:pPr>
      <w:r>
        <w:rPr>
          <w:rFonts w:cstheme="minorHAnsi"/>
        </w:rPr>
        <w:t>Person 10</w:t>
      </w:r>
      <w:r w:rsidR="00DD316A" w:rsidRPr="00D60D87">
        <w:rPr>
          <w:rFonts w:cstheme="minorHAnsi"/>
        </w:rPr>
        <w:t xml:space="preserve"> – can someone give me a brief primer on the CIR and how </w:t>
      </w:r>
      <w:r w:rsidR="00CB65C1" w:rsidRPr="00D60D87">
        <w:rPr>
          <w:rFonts w:cstheme="minorHAnsi"/>
        </w:rPr>
        <w:t>this gets</w:t>
      </w:r>
      <w:r w:rsidR="00DD316A" w:rsidRPr="00D60D87">
        <w:rPr>
          <w:rFonts w:cstheme="minorHAnsi"/>
        </w:rPr>
        <w:t xml:space="preserve"> finished out?</w:t>
      </w:r>
    </w:p>
    <w:p w:rsidR="004018DB" w:rsidRPr="00D60D87" w:rsidRDefault="00DD316A" w:rsidP="0070395B">
      <w:pPr>
        <w:pStyle w:val="NoSpacing"/>
        <w:numPr>
          <w:ilvl w:val="0"/>
          <w:numId w:val="15"/>
        </w:numPr>
        <w:rPr>
          <w:rFonts w:cstheme="minorHAnsi"/>
        </w:rPr>
      </w:pPr>
      <w:r w:rsidRPr="00D60D87">
        <w:rPr>
          <w:rFonts w:cstheme="minorHAnsi"/>
        </w:rPr>
        <w:t xml:space="preserve">Doug </w:t>
      </w:r>
      <w:r w:rsidR="00D57F2E" w:rsidRPr="00D60D87">
        <w:rPr>
          <w:rFonts w:cstheme="minorHAnsi"/>
        </w:rPr>
        <w:t>–</w:t>
      </w:r>
      <w:r w:rsidRPr="00D60D87">
        <w:rPr>
          <w:rFonts w:cstheme="minorHAnsi"/>
        </w:rPr>
        <w:t xml:space="preserve"> </w:t>
      </w:r>
      <w:r w:rsidR="00D57F2E" w:rsidRPr="00D60D87">
        <w:rPr>
          <w:rFonts w:cstheme="minorHAnsi"/>
        </w:rPr>
        <w:t xml:space="preserve">IPR starts this afternoon to figure out what the revenue requirement is for the next two years, parallel to that is the CIR, and it deals with BPA’s capital </w:t>
      </w:r>
      <w:r w:rsidR="00CB65C1" w:rsidRPr="00D60D87">
        <w:rPr>
          <w:rFonts w:cstheme="minorHAnsi"/>
        </w:rPr>
        <w:t>requirements</w:t>
      </w:r>
      <w:r w:rsidR="00D57F2E" w:rsidRPr="00D60D87">
        <w:rPr>
          <w:rFonts w:cstheme="minorHAnsi"/>
        </w:rPr>
        <w:t xml:space="preserve"> going in to the same rate period. Customers are invited to participate in that. The third leg of the stool is Debt Management.</w:t>
      </w:r>
      <w:r w:rsidR="004018DB" w:rsidRPr="00D60D87">
        <w:rPr>
          <w:rFonts w:cstheme="minorHAnsi"/>
        </w:rPr>
        <w:t xml:space="preserve"> IPR kick off is today, this afternoon.</w:t>
      </w:r>
    </w:p>
    <w:p w:rsidR="004018DB" w:rsidRPr="00D60D87" w:rsidRDefault="00157B61" w:rsidP="0070395B">
      <w:pPr>
        <w:pStyle w:val="NoSpacing"/>
        <w:numPr>
          <w:ilvl w:val="0"/>
          <w:numId w:val="15"/>
        </w:numPr>
        <w:rPr>
          <w:rFonts w:cstheme="minorHAnsi"/>
        </w:rPr>
      </w:pPr>
      <w:r w:rsidRPr="00D60D87">
        <w:rPr>
          <w:rFonts w:cstheme="minorHAnsi"/>
        </w:rPr>
        <w:t>Doug – add a placeholder to the paragraph about support for moving back to expense.</w:t>
      </w:r>
    </w:p>
    <w:p w:rsidR="00157B61" w:rsidRPr="00D60D87" w:rsidRDefault="00705F73" w:rsidP="0070395B">
      <w:pPr>
        <w:pStyle w:val="NoSpacing"/>
        <w:numPr>
          <w:ilvl w:val="0"/>
          <w:numId w:val="15"/>
        </w:numPr>
        <w:rPr>
          <w:rFonts w:cstheme="minorHAnsi"/>
        </w:rPr>
      </w:pPr>
      <w:r>
        <w:rPr>
          <w:rFonts w:cstheme="minorHAnsi"/>
        </w:rPr>
        <w:t>Person 1</w:t>
      </w:r>
      <w:r w:rsidR="00157B61" w:rsidRPr="00D60D87">
        <w:rPr>
          <w:rFonts w:cstheme="minorHAnsi"/>
        </w:rPr>
        <w:t xml:space="preserve"> – I have one concern </w:t>
      </w:r>
      <w:r w:rsidR="00557E6E" w:rsidRPr="00D60D87">
        <w:rPr>
          <w:rFonts w:cstheme="minorHAnsi"/>
        </w:rPr>
        <w:t>about moving back to expense. We</w:t>
      </w:r>
      <w:r w:rsidR="00157B61" w:rsidRPr="00D60D87">
        <w:rPr>
          <w:rFonts w:cstheme="minorHAnsi"/>
        </w:rPr>
        <w:t xml:space="preserve"> moved to capital due to the will of the utility voice. From the perspective of the NWEC, there is already a considerable amount of pressure to keep the budgets low. My concern about moving back is that the pressure that caused utilities to move to capital is going to come up again and this will </w:t>
      </w:r>
      <w:r w:rsidR="00931107" w:rsidRPr="00D60D87">
        <w:rPr>
          <w:rFonts w:cstheme="minorHAnsi"/>
        </w:rPr>
        <w:t>d</w:t>
      </w:r>
      <w:r w:rsidR="00EE0CCA" w:rsidRPr="00D60D87">
        <w:rPr>
          <w:rFonts w:cstheme="minorHAnsi"/>
        </w:rPr>
        <w:t>i</w:t>
      </w:r>
      <w:r w:rsidR="00931107" w:rsidRPr="00D60D87">
        <w:rPr>
          <w:rFonts w:cstheme="minorHAnsi"/>
        </w:rPr>
        <w:t>min</w:t>
      </w:r>
      <w:r w:rsidR="00EE0CCA" w:rsidRPr="00D60D87">
        <w:rPr>
          <w:rFonts w:cstheme="minorHAnsi"/>
        </w:rPr>
        <w:t>i</w:t>
      </w:r>
      <w:r w:rsidR="00931107" w:rsidRPr="00D60D87">
        <w:rPr>
          <w:rFonts w:cstheme="minorHAnsi"/>
        </w:rPr>
        <w:t>sh the utility interest in</w:t>
      </w:r>
      <w:r w:rsidR="00157B61" w:rsidRPr="00D60D87">
        <w:rPr>
          <w:rFonts w:cstheme="minorHAnsi"/>
        </w:rPr>
        <w:t xml:space="preserve"> fund</w:t>
      </w:r>
      <w:r w:rsidR="00931107" w:rsidRPr="00D60D87">
        <w:rPr>
          <w:rFonts w:cstheme="minorHAnsi"/>
        </w:rPr>
        <w:t>ing</w:t>
      </w:r>
      <w:r w:rsidR="00157B61" w:rsidRPr="00D60D87">
        <w:rPr>
          <w:rFonts w:cstheme="minorHAnsi"/>
        </w:rPr>
        <w:t xml:space="preserve"> EE </w:t>
      </w:r>
      <w:r w:rsidR="00931107" w:rsidRPr="00D60D87">
        <w:rPr>
          <w:rFonts w:cstheme="minorHAnsi"/>
        </w:rPr>
        <w:t>altogether.</w:t>
      </w:r>
    </w:p>
    <w:p w:rsidR="00931107" w:rsidRPr="00D60D87" w:rsidRDefault="00705F73" w:rsidP="0070395B">
      <w:pPr>
        <w:pStyle w:val="NoSpacing"/>
        <w:numPr>
          <w:ilvl w:val="0"/>
          <w:numId w:val="15"/>
        </w:numPr>
        <w:rPr>
          <w:rFonts w:cstheme="minorHAnsi"/>
        </w:rPr>
      </w:pPr>
      <w:r>
        <w:rPr>
          <w:rFonts w:cstheme="minorHAnsi"/>
        </w:rPr>
        <w:t>Person 2</w:t>
      </w:r>
      <w:r w:rsidR="00931107" w:rsidRPr="00D60D87">
        <w:rPr>
          <w:rFonts w:cstheme="minorHAnsi"/>
        </w:rPr>
        <w:t xml:space="preserve"> – part of the </w:t>
      </w:r>
      <w:r w:rsidR="00CB65C1" w:rsidRPr="00D60D87">
        <w:rPr>
          <w:rFonts w:cstheme="minorHAnsi"/>
        </w:rPr>
        <w:t>beauty</w:t>
      </w:r>
      <w:r w:rsidR="00931107" w:rsidRPr="00D60D87">
        <w:rPr>
          <w:rFonts w:cstheme="minorHAnsi"/>
        </w:rPr>
        <w:t xml:space="preserve"> of the arrangement is that it gives utilities some choice to capitalize or expense if they want to if BPA is expensing it.</w:t>
      </w:r>
    </w:p>
    <w:p w:rsidR="00931107" w:rsidRPr="00D60D87" w:rsidRDefault="00931107" w:rsidP="0070395B">
      <w:pPr>
        <w:pStyle w:val="NoSpacing"/>
        <w:numPr>
          <w:ilvl w:val="0"/>
          <w:numId w:val="15"/>
        </w:numPr>
        <w:rPr>
          <w:rFonts w:cstheme="minorHAnsi"/>
        </w:rPr>
      </w:pPr>
      <w:r w:rsidRPr="00D60D87">
        <w:rPr>
          <w:rFonts w:cstheme="minorHAnsi"/>
        </w:rPr>
        <w:t>Matt – there is some connection to the Plan and the targe</w:t>
      </w:r>
      <w:r w:rsidR="00EE0CCA" w:rsidRPr="00D60D87">
        <w:rPr>
          <w:rFonts w:cstheme="minorHAnsi"/>
        </w:rPr>
        <w:t>ts. We have to get to the targets and then decide how to fund it</w:t>
      </w:r>
      <w:r w:rsidR="008C4EC3" w:rsidRPr="00D60D87">
        <w:rPr>
          <w:rFonts w:cstheme="minorHAnsi"/>
        </w:rPr>
        <w:t xml:space="preserve"> -</w:t>
      </w:r>
      <w:r w:rsidR="00EE0CCA" w:rsidRPr="00D60D87">
        <w:rPr>
          <w:rFonts w:cstheme="minorHAnsi"/>
        </w:rPr>
        <w:t xml:space="preserve"> whether expense or capital. </w:t>
      </w:r>
    </w:p>
    <w:p w:rsidR="006A1CF5" w:rsidRPr="00D60D87" w:rsidRDefault="00705F73" w:rsidP="0070395B">
      <w:pPr>
        <w:pStyle w:val="NoSpacing"/>
        <w:numPr>
          <w:ilvl w:val="0"/>
          <w:numId w:val="15"/>
        </w:numPr>
        <w:rPr>
          <w:rFonts w:cstheme="minorHAnsi"/>
        </w:rPr>
      </w:pPr>
      <w:r>
        <w:rPr>
          <w:rFonts w:cstheme="minorHAnsi"/>
        </w:rPr>
        <w:t>Person 5</w:t>
      </w:r>
      <w:r w:rsidR="006A1CF5" w:rsidRPr="00D60D87">
        <w:rPr>
          <w:rFonts w:cstheme="minorHAnsi"/>
        </w:rPr>
        <w:t xml:space="preserve"> – that pressure is always going to be there. </w:t>
      </w:r>
    </w:p>
    <w:p w:rsidR="00E54D50" w:rsidRPr="00D60D87" w:rsidRDefault="00705F73" w:rsidP="0070395B">
      <w:pPr>
        <w:pStyle w:val="NoSpacing"/>
        <w:numPr>
          <w:ilvl w:val="0"/>
          <w:numId w:val="15"/>
        </w:numPr>
        <w:rPr>
          <w:rFonts w:cstheme="minorHAnsi"/>
        </w:rPr>
      </w:pPr>
      <w:r>
        <w:rPr>
          <w:rFonts w:cstheme="minorHAnsi"/>
        </w:rPr>
        <w:t>Person 1</w:t>
      </w:r>
      <w:r w:rsidR="00E54D50" w:rsidRPr="00D60D87">
        <w:rPr>
          <w:rFonts w:cstheme="minorHAnsi"/>
        </w:rPr>
        <w:t xml:space="preserve"> – if you move back to expense the budgets are going to go up in the short term and some utilities are not going to like it. We need to recognize it. It’s a lot when you do it but it’s even more when you capitalize it and that sticker shock during the transition might have an impact on EE budgets.</w:t>
      </w:r>
    </w:p>
    <w:p w:rsidR="00E54D50" w:rsidRPr="00D60D87" w:rsidRDefault="00505CF5" w:rsidP="0070395B">
      <w:pPr>
        <w:pStyle w:val="NoSpacing"/>
        <w:numPr>
          <w:ilvl w:val="0"/>
          <w:numId w:val="15"/>
        </w:numPr>
        <w:rPr>
          <w:rFonts w:cstheme="minorHAnsi"/>
        </w:rPr>
      </w:pPr>
      <w:r>
        <w:rPr>
          <w:rFonts w:cstheme="minorHAnsi"/>
        </w:rPr>
        <w:t>Person 3</w:t>
      </w:r>
      <w:r w:rsidR="00E54D50" w:rsidRPr="00D60D87">
        <w:rPr>
          <w:rFonts w:cstheme="minorHAnsi"/>
        </w:rPr>
        <w:t xml:space="preserve"> – and to Matt’s point about the engagement with the target. They are agnostic to how it gets paid. Four years ago, it ma</w:t>
      </w:r>
      <w:r w:rsidR="001E2D09" w:rsidRPr="00D60D87">
        <w:rPr>
          <w:rFonts w:cstheme="minorHAnsi"/>
        </w:rPr>
        <w:t xml:space="preserve">de sense to move it to capital. </w:t>
      </w:r>
    </w:p>
    <w:p w:rsidR="001E2D09" w:rsidRPr="00D60D87" w:rsidRDefault="006402E0" w:rsidP="0070395B">
      <w:pPr>
        <w:pStyle w:val="NoSpacing"/>
        <w:numPr>
          <w:ilvl w:val="0"/>
          <w:numId w:val="15"/>
        </w:numPr>
        <w:rPr>
          <w:rFonts w:cstheme="minorHAnsi"/>
        </w:rPr>
      </w:pPr>
      <w:r w:rsidRPr="00D60D87">
        <w:rPr>
          <w:rFonts w:cstheme="minorHAnsi"/>
        </w:rPr>
        <w:t xml:space="preserve">Doug – moving on….the next element is </w:t>
      </w:r>
      <w:r w:rsidR="00E10BE2" w:rsidRPr="00D60D87">
        <w:rPr>
          <w:rFonts w:cstheme="minorHAnsi"/>
        </w:rPr>
        <w:t xml:space="preserve">billing credits. </w:t>
      </w:r>
    </w:p>
    <w:p w:rsidR="00E10BE2" w:rsidRPr="00D60D87" w:rsidRDefault="00705F73" w:rsidP="0070395B">
      <w:pPr>
        <w:pStyle w:val="NoSpacing"/>
        <w:numPr>
          <w:ilvl w:val="0"/>
          <w:numId w:val="15"/>
        </w:numPr>
        <w:rPr>
          <w:rFonts w:cstheme="minorHAnsi"/>
        </w:rPr>
      </w:pPr>
      <w:r>
        <w:rPr>
          <w:rFonts w:cstheme="minorHAnsi"/>
        </w:rPr>
        <w:t>Person 5</w:t>
      </w:r>
      <w:r w:rsidR="00E10BE2" w:rsidRPr="00D60D87">
        <w:rPr>
          <w:rFonts w:cstheme="minorHAnsi"/>
        </w:rPr>
        <w:t xml:space="preserve"> – utilities that want to capitalize can and those that </w:t>
      </w:r>
      <w:r w:rsidR="0090025C" w:rsidRPr="00D60D87">
        <w:rPr>
          <w:rFonts w:cstheme="minorHAnsi"/>
        </w:rPr>
        <w:t>want to expense can under the billing credits option.</w:t>
      </w:r>
    </w:p>
    <w:p w:rsidR="0090025C" w:rsidRPr="00D60D87" w:rsidRDefault="00456800" w:rsidP="0070395B">
      <w:pPr>
        <w:pStyle w:val="NoSpacing"/>
        <w:numPr>
          <w:ilvl w:val="0"/>
          <w:numId w:val="15"/>
        </w:numPr>
        <w:rPr>
          <w:rFonts w:cstheme="minorHAnsi"/>
        </w:rPr>
      </w:pPr>
      <w:r w:rsidRPr="00D60D87">
        <w:rPr>
          <w:rFonts w:cstheme="minorHAnsi"/>
        </w:rPr>
        <w:t>Matt – we are running to ground the net billing notion of financing having to do with Energy Northwest</w:t>
      </w:r>
      <w:r w:rsidR="00336614" w:rsidRPr="00D60D87">
        <w:rPr>
          <w:rFonts w:cstheme="minorHAnsi"/>
        </w:rPr>
        <w:t xml:space="preserve"> and whether that would be available to all customers. </w:t>
      </w:r>
    </w:p>
    <w:p w:rsidR="00336614" w:rsidRPr="00D60D87" w:rsidRDefault="00705F73" w:rsidP="0070395B">
      <w:pPr>
        <w:pStyle w:val="NoSpacing"/>
        <w:numPr>
          <w:ilvl w:val="0"/>
          <w:numId w:val="15"/>
        </w:numPr>
        <w:rPr>
          <w:rFonts w:cstheme="minorHAnsi"/>
        </w:rPr>
      </w:pPr>
      <w:r>
        <w:rPr>
          <w:rFonts w:cstheme="minorHAnsi"/>
        </w:rPr>
        <w:lastRenderedPageBreak/>
        <w:t>Person 4</w:t>
      </w:r>
      <w:r w:rsidR="00336614" w:rsidRPr="00D60D87">
        <w:rPr>
          <w:rFonts w:cstheme="minorHAnsi"/>
        </w:rPr>
        <w:t xml:space="preserve"> – when you bring that back to the group can you let us know what the rationale behind why this is or is not an option?</w:t>
      </w:r>
      <w:r w:rsidR="003D16A3" w:rsidRPr="00D60D87">
        <w:rPr>
          <w:rFonts w:cstheme="minorHAnsi"/>
        </w:rPr>
        <w:t xml:space="preserve"> So that our legal staff can work through the same path.</w:t>
      </w:r>
    </w:p>
    <w:p w:rsidR="00336614" w:rsidRPr="00D60D87" w:rsidRDefault="00505CF5" w:rsidP="0070395B">
      <w:pPr>
        <w:pStyle w:val="NoSpacing"/>
        <w:numPr>
          <w:ilvl w:val="0"/>
          <w:numId w:val="15"/>
        </w:numPr>
        <w:rPr>
          <w:rFonts w:cstheme="minorHAnsi"/>
        </w:rPr>
      </w:pPr>
      <w:r>
        <w:rPr>
          <w:rFonts w:cstheme="minorHAnsi"/>
        </w:rPr>
        <w:t>Person 21</w:t>
      </w:r>
      <w:r w:rsidR="00E83EEE" w:rsidRPr="00D60D87">
        <w:rPr>
          <w:rFonts w:cstheme="minorHAnsi"/>
        </w:rPr>
        <w:t xml:space="preserve"> – it almost seems like we agree with the legal conclusion and I don’t’ think that is the case. I think that qualification should be called out more.</w:t>
      </w:r>
    </w:p>
    <w:p w:rsidR="00E83EEE" w:rsidRPr="00D60D87" w:rsidRDefault="00705F73" w:rsidP="0070395B">
      <w:pPr>
        <w:pStyle w:val="NoSpacing"/>
        <w:numPr>
          <w:ilvl w:val="0"/>
          <w:numId w:val="15"/>
        </w:numPr>
        <w:rPr>
          <w:rFonts w:cstheme="minorHAnsi"/>
        </w:rPr>
      </w:pPr>
      <w:r>
        <w:rPr>
          <w:rFonts w:cstheme="minorHAnsi"/>
        </w:rPr>
        <w:t>Person 1</w:t>
      </w:r>
      <w:r w:rsidR="00D23D94" w:rsidRPr="00D60D87">
        <w:rPr>
          <w:rFonts w:cstheme="minorHAnsi"/>
        </w:rPr>
        <w:t xml:space="preserve"> – I am concerned that the billing credits satisfy BPA’s statutory obligation to acquire conservation. </w:t>
      </w:r>
    </w:p>
    <w:p w:rsidR="00D23D94" w:rsidRPr="00D60D87" w:rsidRDefault="008C693A" w:rsidP="0070395B">
      <w:pPr>
        <w:pStyle w:val="NoSpacing"/>
        <w:numPr>
          <w:ilvl w:val="0"/>
          <w:numId w:val="15"/>
        </w:numPr>
        <w:rPr>
          <w:rFonts w:cstheme="minorHAnsi"/>
        </w:rPr>
      </w:pPr>
      <w:r w:rsidRPr="00D60D87">
        <w:rPr>
          <w:rFonts w:cstheme="minorHAnsi"/>
        </w:rPr>
        <w:t>Matt – in the contract it will say that you have to deliver a certain amount of conservation.</w:t>
      </w:r>
    </w:p>
    <w:p w:rsidR="00D12C25" w:rsidRPr="00D60D87" w:rsidRDefault="00705F73" w:rsidP="0070395B">
      <w:pPr>
        <w:pStyle w:val="NoSpacing"/>
        <w:numPr>
          <w:ilvl w:val="0"/>
          <w:numId w:val="15"/>
        </w:numPr>
        <w:rPr>
          <w:rFonts w:cstheme="minorHAnsi"/>
        </w:rPr>
      </w:pPr>
      <w:r>
        <w:rPr>
          <w:rFonts w:cstheme="minorHAnsi"/>
        </w:rPr>
        <w:t>Person 2</w:t>
      </w:r>
      <w:r w:rsidR="00D12C25" w:rsidRPr="00D60D87">
        <w:rPr>
          <w:rFonts w:cstheme="minorHAnsi"/>
        </w:rPr>
        <w:t xml:space="preserve"> – I keep going ba</w:t>
      </w:r>
      <w:r w:rsidR="00D822DD" w:rsidRPr="00D60D87">
        <w:rPr>
          <w:rFonts w:cstheme="minorHAnsi"/>
        </w:rPr>
        <w:t>c</w:t>
      </w:r>
      <w:r w:rsidR="00D12C25" w:rsidRPr="00D60D87">
        <w:rPr>
          <w:rFonts w:cstheme="minorHAnsi"/>
        </w:rPr>
        <w:t>k to the example that we had a large customer and the savings from that project were not allowed because we didn’t have preapproval in an email even though it satisfied BPA’s other requirements.</w:t>
      </w:r>
    </w:p>
    <w:p w:rsidR="00D12C25" w:rsidRPr="00D60D87" w:rsidRDefault="00705F73" w:rsidP="0070395B">
      <w:pPr>
        <w:pStyle w:val="NoSpacing"/>
        <w:numPr>
          <w:ilvl w:val="0"/>
          <w:numId w:val="15"/>
        </w:numPr>
        <w:rPr>
          <w:rFonts w:cstheme="minorHAnsi"/>
        </w:rPr>
      </w:pPr>
      <w:r>
        <w:rPr>
          <w:rFonts w:cstheme="minorHAnsi"/>
        </w:rPr>
        <w:t>Person 1</w:t>
      </w:r>
      <w:r w:rsidR="00CC0913" w:rsidRPr="00D60D87">
        <w:rPr>
          <w:rFonts w:cstheme="minorHAnsi"/>
        </w:rPr>
        <w:t xml:space="preserve"> – there is a </w:t>
      </w:r>
      <w:r w:rsidR="002C3173" w:rsidRPr="00D60D87">
        <w:rPr>
          <w:rFonts w:cstheme="minorHAnsi"/>
        </w:rPr>
        <w:t xml:space="preserve">working assumption </w:t>
      </w:r>
      <w:r w:rsidR="00CC0913" w:rsidRPr="00D60D87">
        <w:rPr>
          <w:rFonts w:cstheme="minorHAnsi"/>
        </w:rPr>
        <w:t>that the status quo (application of the reporting system</w:t>
      </w:r>
      <w:r w:rsidR="002C3173" w:rsidRPr="00D60D87">
        <w:rPr>
          <w:rFonts w:cstheme="minorHAnsi"/>
        </w:rPr>
        <w:t xml:space="preserve"> and IM rules) be used even for billing credits. Maybe we should call it out. </w:t>
      </w:r>
    </w:p>
    <w:p w:rsidR="002C3173" w:rsidRPr="00D60D87" w:rsidRDefault="002C3173" w:rsidP="0070395B">
      <w:pPr>
        <w:pStyle w:val="NoSpacing"/>
        <w:numPr>
          <w:ilvl w:val="0"/>
          <w:numId w:val="15"/>
        </w:numPr>
        <w:rPr>
          <w:rFonts w:cstheme="minorHAnsi"/>
        </w:rPr>
      </w:pPr>
      <w:r w:rsidRPr="00D60D87">
        <w:rPr>
          <w:rFonts w:cstheme="minorHAnsi"/>
        </w:rPr>
        <w:t>Matt – billing credits is just the financial tool. We are not changing other stuff.</w:t>
      </w:r>
    </w:p>
    <w:p w:rsidR="002C3173" w:rsidRPr="00D60D87" w:rsidRDefault="00705F73" w:rsidP="0070395B">
      <w:pPr>
        <w:pStyle w:val="NoSpacing"/>
        <w:numPr>
          <w:ilvl w:val="0"/>
          <w:numId w:val="15"/>
        </w:numPr>
        <w:rPr>
          <w:rFonts w:cstheme="minorHAnsi"/>
        </w:rPr>
      </w:pPr>
      <w:r>
        <w:rPr>
          <w:rFonts w:cstheme="minorHAnsi"/>
        </w:rPr>
        <w:t>Person 1</w:t>
      </w:r>
      <w:r w:rsidR="002C3173" w:rsidRPr="00D60D87">
        <w:rPr>
          <w:rFonts w:cstheme="minorHAnsi"/>
        </w:rPr>
        <w:t xml:space="preserve"> – because it hasn’t been established, I think we need to.</w:t>
      </w:r>
    </w:p>
    <w:p w:rsidR="002C3173" w:rsidRPr="00D60D87" w:rsidRDefault="00705F73" w:rsidP="0070395B">
      <w:pPr>
        <w:pStyle w:val="NoSpacing"/>
        <w:numPr>
          <w:ilvl w:val="0"/>
          <w:numId w:val="15"/>
        </w:numPr>
        <w:rPr>
          <w:rFonts w:cstheme="minorHAnsi"/>
        </w:rPr>
      </w:pPr>
      <w:r>
        <w:rPr>
          <w:rFonts w:cstheme="minorHAnsi"/>
        </w:rPr>
        <w:t>Person 1</w:t>
      </w:r>
      <w:r w:rsidR="004B15F7" w:rsidRPr="00D60D87">
        <w:rPr>
          <w:rFonts w:cstheme="minorHAnsi"/>
        </w:rPr>
        <w:t xml:space="preserve"> – because there is an assumption that customers </w:t>
      </w:r>
      <w:r w:rsidR="00CB65C1" w:rsidRPr="00D60D87">
        <w:rPr>
          <w:rFonts w:cstheme="minorHAnsi"/>
        </w:rPr>
        <w:t>self</w:t>
      </w:r>
      <w:r w:rsidR="004B15F7" w:rsidRPr="00D60D87">
        <w:rPr>
          <w:rFonts w:cstheme="minorHAnsi"/>
        </w:rPr>
        <w:t xml:space="preserve">-fund 25 percent and EEI pays for 75 percent, there is a lot of NWEC confusion about </w:t>
      </w:r>
      <w:r w:rsidR="00710304" w:rsidRPr="00D60D87">
        <w:rPr>
          <w:rFonts w:cstheme="minorHAnsi"/>
        </w:rPr>
        <w:t>whether the</w:t>
      </w:r>
      <w:r w:rsidR="004B15F7" w:rsidRPr="00D60D87">
        <w:rPr>
          <w:rFonts w:cstheme="minorHAnsi"/>
        </w:rPr>
        <w:t xml:space="preserve"> utilities who do billing credits still have to do the 25 percent self-fund. I think you need to explain that.</w:t>
      </w:r>
    </w:p>
    <w:p w:rsidR="004B15F7" w:rsidRPr="00D60D87" w:rsidRDefault="00505CF5" w:rsidP="0070395B">
      <w:pPr>
        <w:pStyle w:val="NoSpacing"/>
        <w:numPr>
          <w:ilvl w:val="0"/>
          <w:numId w:val="15"/>
        </w:numPr>
        <w:rPr>
          <w:rFonts w:cstheme="minorHAnsi"/>
        </w:rPr>
      </w:pPr>
      <w:r>
        <w:rPr>
          <w:rFonts w:cstheme="minorHAnsi"/>
        </w:rPr>
        <w:t>Person 3</w:t>
      </w:r>
      <w:r w:rsidR="004B15F7" w:rsidRPr="00D60D87">
        <w:rPr>
          <w:rFonts w:cstheme="minorHAnsi"/>
        </w:rPr>
        <w:t xml:space="preserve"> – could there be a recommendation by this workgroup to continue to flesh out some of these details. There seem to be a handful of issues that are unresolved.</w:t>
      </w:r>
    </w:p>
    <w:p w:rsidR="00414F70" w:rsidRPr="00D60D87" w:rsidRDefault="00414F70" w:rsidP="0070395B">
      <w:pPr>
        <w:pStyle w:val="NoSpacing"/>
        <w:rPr>
          <w:rFonts w:cstheme="minorHAnsi"/>
        </w:rPr>
      </w:pPr>
    </w:p>
    <w:p w:rsidR="00414F70" w:rsidRDefault="00414F70" w:rsidP="00D60D87">
      <w:pPr>
        <w:pStyle w:val="NoSpacing"/>
      </w:pPr>
      <w:r>
        <w:t xml:space="preserve">Congratulations to the Workgroup were shared around the room.  Many thanks to PNGC for their continued hospitality and </w:t>
      </w:r>
      <w:r w:rsidR="0070395B">
        <w:t xml:space="preserve">all the Workgroup participants for their patience and endurance through the race.  </w:t>
      </w:r>
      <w:r w:rsidR="0070395B" w:rsidRPr="00D60D87">
        <w:rPr>
          <w:b/>
        </w:rPr>
        <w:t>J</w:t>
      </w:r>
      <w:r w:rsidR="00D60D87">
        <w:rPr>
          <w:b/>
        </w:rPr>
        <w:t>OB WELL DONE!!</w:t>
      </w:r>
    </w:p>
    <w:sectPr w:rsidR="00414F70" w:rsidSect="00CA21A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74" w:rsidRDefault="004B5E74" w:rsidP="004B5E74">
      <w:pPr>
        <w:spacing w:after="0" w:line="240" w:lineRule="auto"/>
      </w:pPr>
      <w:r>
        <w:separator/>
      </w:r>
    </w:p>
  </w:endnote>
  <w:endnote w:type="continuationSeparator" w:id="0">
    <w:p w:rsidR="004B5E74" w:rsidRDefault="004B5E74" w:rsidP="004B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74602"/>
      <w:docPartObj>
        <w:docPartGallery w:val="Page Numbers (Bottom of Page)"/>
        <w:docPartUnique/>
      </w:docPartObj>
    </w:sdtPr>
    <w:sdtEndPr>
      <w:rPr>
        <w:noProof/>
      </w:rPr>
    </w:sdtEndPr>
    <w:sdtContent>
      <w:p w:rsidR="006A3FF9" w:rsidRDefault="006A3FF9">
        <w:pPr>
          <w:pStyle w:val="Footer"/>
          <w:jc w:val="right"/>
        </w:pPr>
        <w:r>
          <w:fldChar w:fldCharType="begin"/>
        </w:r>
        <w:r>
          <w:instrText xml:space="preserve"> PAGE   \* MERGEFORMAT </w:instrText>
        </w:r>
        <w:r>
          <w:fldChar w:fldCharType="separate"/>
        </w:r>
        <w:r w:rsidR="007244CA">
          <w:rPr>
            <w:noProof/>
          </w:rPr>
          <w:t>2</w:t>
        </w:r>
        <w:r>
          <w:rPr>
            <w:noProof/>
          </w:rPr>
          <w:fldChar w:fldCharType="end"/>
        </w:r>
      </w:p>
    </w:sdtContent>
  </w:sdt>
  <w:p w:rsidR="004B5E74" w:rsidRDefault="004B5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74" w:rsidRDefault="004B5E74" w:rsidP="004B5E74">
      <w:pPr>
        <w:spacing w:after="0" w:line="240" w:lineRule="auto"/>
      </w:pPr>
      <w:r>
        <w:separator/>
      </w:r>
    </w:p>
  </w:footnote>
  <w:footnote w:type="continuationSeparator" w:id="0">
    <w:p w:rsidR="004B5E74" w:rsidRDefault="004B5E74" w:rsidP="004B5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AC5"/>
    <w:multiLevelType w:val="hybridMultilevel"/>
    <w:tmpl w:val="3E5E0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BC125D"/>
    <w:multiLevelType w:val="hybridMultilevel"/>
    <w:tmpl w:val="6616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771CE"/>
    <w:multiLevelType w:val="hybridMultilevel"/>
    <w:tmpl w:val="53CE8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AD54EB"/>
    <w:multiLevelType w:val="hybridMultilevel"/>
    <w:tmpl w:val="6712B4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4472EA"/>
    <w:multiLevelType w:val="hybridMultilevel"/>
    <w:tmpl w:val="6C488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CB6382"/>
    <w:multiLevelType w:val="hybridMultilevel"/>
    <w:tmpl w:val="82DE2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0C070B"/>
    <w:multiLevelType w:val="multilevel"/>
    <w:tmpl w:val="D686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A34158"/>
    <w:multiLevelType w:val="hybridMultilevel"/>
    <w:tmpl w:val="212E5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BC7EC9"/>
    <w:multiLevelType w:val="hybridMultilevel"/>
    <w:tmpl w:val="609A6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8F7D02"/>
    <w:multiLevelType w:val="hybridMultilevel"/>
    <w:tmpl w:val="1E20FE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904B17"/>
    <w:multiLevelType w:val="hybridMultilevel"/>
    <w:tmpl w:val="DAC66D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056368"/>
    <w:multiLevelType w:val="hybridMultilevel"/>
    <w:tmpl w:val="0C34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855B3D"/>
    <w:multiLevelType w:val="hybridMultilevel"/>
    <w:tmpl w:val="D45C8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B14521"/>
    <w:multiLevelType w:val="hybridMultilevel"/>
    <w:tmpl w:val="36BAD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C8534B"/>
    <w:multiLevelType w:val="hybridMultilevel"/>
    <w:tmpl w:val="555AE10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0"/>
  </w:num>
  <w:num w:numId="4">
    <w:abstractNumId w:val="4"/>
  </w:num>
  <w:num w:numId="5">
    <w:abstractNumId w:val="14"/>
  </w:num>
  <w:num w:numId="6">
    <w:abstractNumId w:val="10"/>
  </w:num>
  <w:num w:numId="7">
    <w:abstractNumId w:val="5"/>
  </w:num>
  <w:num w:numId="8">
    <w:abstractNumId w:val="8"/>
  </w:num>
  <w:num w:numId="9">
    <w:abstractNumId w:val="3"/>
  </w:num>
  <w:num w:numId="10">
    <w:abstractNumId w:val="11"/>
  </w:num>
  <w:num w:numId="11">
    <w:abstractNumId w:val="12"/>
  </w:num>
  <w:num w:numId="12">
    <w:abstractNumId w:val="6"/>
  </w:num>
  <w:num w:numId="13">
    <w:abstractNumId w:val="9"/>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91"/>
    <w:rsid w:val="00002F69"/>
    <w:rsid w:val="000054C8"/>
    <w:rsid w:val="00006B56"/>
    <w:rsid w:val="00006D73"/>
    <w:rsid w:val="00013F10"/>
    <w:rsid w:val="00020D8E"/>
    <w:rsid w:val="000216CF"/>
    <w:rsid w:val="00032695"/>
    <w:rsid w:val="00032813"/>
    <w:rsid w:val="00032CAA"/>
    <w:rsid w:val="00036044"/>
    <w:rsid w:val="00041BE0"/>
    <w:rsid w:val="000447F5"/>
    <w:rsid w:val="000526E3"/>
    <w:rsid w:val="00053E82"/>
    <w:rsid w:val="00055B36"/>
    <w:rsid w:val="00056DBB"/>
    <w:rsid w:val="00057119"/>
    <w:rsid w:val="0005764F"/>
    <w:rsid w:val="000647CD"/>
    <w:rsid w:val="0006624F"/>
    <w:rsid w:val="00070504"/>
    <w:rsid w:val="00070F55"/>
    <w:rsid w:val="0007160B"/>
    <w:rsid w:val="00075293"/>
    <w:rsid w:val="00080732"/>
    <w:rsid w:val="00084BF7"/>
    <w:rsid w:val="000920F5"/>
    <w:rsid w:val="00092F2D"/>
    <w:rsid w:val="00095F2C"/>
    <w:rsid w:val="000A0FE5"/>
    <w:rsid w:val="000A61C9"/>
    <w:rsid w:val="000B0227"/>
    <w:rsid w:val="000B5CA7"/>
    <w:rsid w:val="000B5EC2"/>
    <w:rsid w:val="000C2245"/>
    <w:rsid w:val="000C3A56"/>
    <w:rsid w:val="000C4BEE"/>
    <w:rsid w:val="000C7CC7"/>
    <w:rsid w:val="000D3BBE"/>
    <w:rsid w:val="000D4AED"/>
    <w:rsid w:val="000D5B7C"/>
    <w:rsid w:val="000D69FD"/>
    <w:rsid w:val="000D6F07"/>
    <w:rsid w:val="000E5177"/>
    <w:rsid w:val="000E5855"/>
    <w:rsid w:val="000F1407"/>
    <w:rsid w:val="000F15F6"/>
    <w:rsid w:val="000F2179"/>
    <w:rsid w:val="000F2C71"/>
    <w:rsid w:val="000F6AEE"/>
    <w:rsid w:val="00101A3E"/>
    <w:rsid w:val="00107752"/>
    <w:rsid w:val="00110698"/>
    <w:rsid w:val="00115A60"/>
    <w:rsid w:val="00116787"/>
    <w:rsid w:val="00120DB1"/>
    <w:rsid w:val="0012248C"/>
    <w:rsid w:val="00133E1D"/>
    <w:rsid w:val="00140339"/>
    <w:rsid w:val="001425F9"/>
    <w:rsid w:val="001523E9"/>
    <w:rsid w:val="0015623E"/>
    <w:rsid w:val="00156AF4"/>
    <w:rsid w:val="001576CA"/>
    <w:rsid w:val="00157B61"/>
    <w:rsid w:val="00162922"/>
    <w:rsid w:val="00162C4F"/>
    <w:rsid w:val="00163B45"/>
    <w:rsid w:val="0017027F"/>
    <w:rsid w:val="001731D1"/>
    <w:rsid w:val="00173E81"/>
    <w:rsid w:val="00175B83"/>
    <w:rsid w:val="00176B6C"/>
    <w:rsid w:val="00176C37"/>
    <w:rsid w:val="00177E6B"/>
    <w:rsid w:val="00181091"/>
    <w:rsid w:val="00184273"/>
    <w:rsid w:val="0019757A"/>
    <w:rsid w:val="001A27A3"/>
    <w:rsid w:val="001A5066"/>
    <w:rsid w:val="001A7A9E"/>
    <w:rsid w:val="001B15FE"/>
    <w:rsid w:val="001B22F7"/>
    <w:rsid w:val="001B658D"/>
    <w:rsid w:val="001C10D7"/>
    <w:rsid w:val="001C2024"/>
    <w:rsid w:val="001C4481"/>
    <w:rsid w:val="001C5362"/>
    <w:rsid w:val="001C5EA6"/>
    <w:rsid w:val="001C7DA1"/>
    <w:rsid w:val="001D39A9"/>
    <w:rsid w:val="001D3ED8"/>
    <w:rsid w:val="001D424D"/>
    <w:rsid w:val="001D64A7"/>
    <w:rsid w:val="001E09B7"/>
    <w:rsid w:val="001E2D09"/>
    <w:rsid w:val="001E5C40"/>
    <w:rsid w:val="001E5F11"/>
    <w:rsid w:val="001E6E60"/>
    <w:rsid w:val="001E7136"/>
    <w:rsid w:val="001F2CA4"/>
    <w:rsid w:val="001F5160"/>
    <w:rsid w:val="002006C6"/>
    <w:rsid w:val="00211B21"/>
    <w:rsid w:val="002143CF"/>
    <w:rsid w:val="002147ED"/>
    <w:rsid w:val="00217078"/>
    <w:rsid w:val="00230BD8"/>
    <w:rsid w:val="00241CFA"/>
    <w:rsid w:val="00242135"/>
    <w:rsid w:val="00245F1D"/>
    <w:rsid w:val="002520B4"/>
    <w:rsid w:val="0025529F"/>
    <w:rsid w:val="00256E49"/>
    <w:rsid w:val="00257211"/>
    <w:rsid w:val="002576A4"/>
    <w:rsid w:val="00264205"/>
    <w:rsid w:val="0026642A"/>
    <w:rsid w:val="00273E48"/>
    <w:rsid w:val="002752D4"/>
    <w:rsid w:val="00275B0B"/>
    <w:rsid w:val="00280C90"/>
    <w:rsid w:val="002850F7"/>
    <w:rsid w:val="002863F0"/>
    <w:rsid w:val="002A2DB3"/>
    <w:rsid w:val="002A4030"/>
    <w:rsid w:val="002B53CD"/>
    <w:rsid w:val="002B66BB"/>
    <w:rsid w:val="002B6785"/>
    <w:rsid w:val="002B7BBE"/>
    <w:rsid w:val="002C15B4"/>
    <w:rsid w:val="002C294E"/>
    <w:rsid w:val="002C3173"/>
    <w:rsid w:val="002C38F5"/>
    <w:rsid w:val="002C6421"/>
    <w:rsid w:val="002D16AB"/>
    <w:rsid w:val="002E1C43"/>
    <w:rsid w:val="002E76C8"/>
    <w:rsid w:val="002E7C99"/>
    <w:rsid w:val="002F0BF6"/>
    <w:rsid w:val="002F11FE"/>
    <w:rsid w:val="002F385A"/>
    <w:rsid w:val="002F5F57"/>
    <w:rsid w:val="00300161"/>
    <w:rsid w:val="003041A0"/>
    <w:rsid w:val="00304B74"/>
    <w:rsid w:val="00310C2F"/>
    <w:rsid w:val="00312F01"/>
    <w:rsid w:val="0032150A"/>
    <w:rsid w:val="003225CA"/>
    <w:rsid w:val="00327C7D"/>
    <w:rsid w:val="00332183"/>
    <w:rsid w:val="00333DEB"/>
    <w:rsid w:val="00334CD2"/>
    <w:rsid w:val="00336614"/>
    <w:rsid w:val="003403FC"/>
    <w:rsid w:val="00340B54"/>
    <w:rsid w:val="0034240E"/>
    <w:rsid w:val="003527FB"/>
    <w:rsid w:val="00357989"/>
    <w:rsid w:val="00363C40"/>
    <w:rsid w:val="00365AE7"/>
    <w:rsid w:val="00365D4B"/>
    <w:rsid w:val="00365DCE"/>
    <w:rsid w:val="00367375"/>
    <w:rsid w:val="00367CFE"/>
    <w:rsid w:val="00374385"/>
    <w:rsid w:val="00377670"/>
    <w:rsid w:val="00377E84"/>
    <w:rsid w:val="00384776"/>
    <w:rsid w:val="0038669D"/>
    <w:rsid w:val="00386926"/>
    <w:rsid w:val="00387002"/>
    <w:rsid w:val="00391C72"/>
    <w:rsid w:val="003968F4"/>
    <w:rsid w:val="003A2012"/>
    <w:rsid w:val="003A447F"/>
    <w:rsid w:val="003A51F3"/>
    <w:rsid w:val="003A5FE1"/>
    <w:rsid w:val="003B6F8D"/>
    <w:rsid w:val="003B7D48"/>
    <w:rsid w:val="003C0338"/>
    <w:rsid w:val="003C1FA8"/>
    <w:rsid w:val="003D16A3"/>
    <w:rsid w:val="003D3AC3"/>
    <w:rsid w:val="003E4190"/>
    <w:rsid w:val="003E5E8A"/>
    <w:rsid w:val="003E612B"/>
    <w:rsid w:val="003E7C77"/>
    <w:rsid w:val="003F0E8A"/>
    <w:rsid w:val="003F2117"/>
    <w:rsid w:val="003F2EA7"/>
    <w:rsid w:val="003F4CEC"/>
    <w:rsid w:val="004018DB"/>
    <w:rsid w:val="00401A15"/>
    <w:rsid w:val="00401E1F"/>
    <w:rsid w:val="0040541F"/>
    <w:rsid w:val="004116AB"/>
    <w:rsid w:val="0041405C"/>
    <w:rsid w:val="00414F70"/>
    <w:rsid w:val="004308B1"/>
    <w:rsid w:val="004320D6"/>
    <w:rsid w:val="00434CCB"/>
    <w:rsid w:val="00446F90"/>
    <w:rsid w:val="00452854"/>
    <w:rsid w:val="004542CC"/>
    <w:rsid w:val="00455E7B"/>
    <w:rsid w:val="00456800"/>
    <w:rsid w:val="00457A2B"/>
    <w:rsid w:val="004607AF"/>
    <w:rsid w:val="00461ECD"/>
    <w:rsid w:val="00464DEB"/>
    <w:rsid w:val="00464F3F"/>
    <w:rsid w:val="004662EA"/>
    <w:rsid w:val="00471F6E"/>
    <w:rsid w:val="00472FCC"/>
    <w:rsid w:val="004738BD"/>
    <w:rsid w:val="00475E44"/>
    <w:rsid w:val="004769AC"/>
    <w:rsid w:val="00477167"/>
    <w:rsid w:val="00480F5F"/>
    <w:rsid w:val="00485C78"/>
    <w:rsid w:val="004871F7"/>
    <w:rsid w:val="0048776C"/>
    <w:rsid w:val="00490FDD"/>
    <w:rsid w:val="004926A8"/>
    <w:rsid w:val="004938E2"/>
    <w:rsid w:val="004952C0"/>
    <w:rsid w:val="004978DE"/>
    <w:rsid w:val="004A170C"/>
    <w:rsid w:val="004A6C2D"/>
    <w:rsid w:val="004A6DC3"/>
    <w:rsid w:val="004B15F7"/>
    <w:rsid w:val="004B31D3"/>
    <w:rsid w:val="004B5413"/>
    <w:rsid w:val="004B578C"/>
    <w:rsid w:val="004B5E74"/>
    <w:rsid w:val="004C283B"/>
    <w:rsid w:val="004C2FCB"/>
    <w:rsid w:val="004C4487"/>
    <w:rsid w:val="004D2D9E"/>
    <w:rsid w:val="004D4CBC"/>
    <w:rsid w:val="004E1392"/>
    <w:rsid w:val="004E1AA3"/>
    <w:rsid w:val="004E79BA"/>
    <w:rsid w:val="004F1758"/>
    <w:rsid w:val="004F1C91"/>
    <w:rsid w:val="004F20D7"/>
    <w:rsid w:val="004F5BD9"/>
    <w:rsid w:val="004F6186"/>
    <w:rsid w:val="004F7B76"/>
    <w:rsid w:val="00502068"/>
    <w:rsid w:val="00505CF5"/>
    <w:rsid w:val="00515DFF"/>
    <w:rsid w:val="00515F93"/>
    <w:rsid w:val="0051655B"/>
    <w:rsid w:val="005200BD"/>
    <w:rsid w:val="00523E25"/>
    <w:rsid w:val="00526778"/>
    <w:rsid w:val="00542C9F"/>
    <w:rsid w:val="005442DD"/>
    <w:rsid w:val="00546312"/>
    <w:rsid w:val="00546401"/>
    <w:rsid w:val="0055326D"/>
    <w:rsid w:val="005546EE"/>
    <w:rsid w:val="00554AE7"/>
    <w:rsid w:val="00554B53"/>
    <w:rsid w:val="00557E6E"/>
    <w:rsid w:val="0056187F"/>
    <w:rsid w:val="005618B4"/>
    <w:rsid w:val="005725D5"/>
    <w:rsid w:val="00574415"/>
    <w:rsid w:val="005756E5"/>
    <w:rsid w:val="005775AC"/>
    <w:rsid w:val="00580622"/>
    <w:rsid w:val="005819A3"/>
    <w:rsid w:val="005820E8"/>
    <w:rsid w:val="00582631"/>
    <w:rsid w:val="005830AD"/>
    <w:rsid w:val="00591C7A"/>
    <w:rsid w:val="00593B28"/>
    <w:rsid w:val="00595BE9"/>
    <w:rsid w:val="00596A4D"/>
    <w:rsid w:val="00597F7F"/>
    <w:rsid w:val="005A1F7E"/>
    <w:rsid w:val="005B469C"/>
    <w:rsid w:val="005B7B9F"/>
    <w:rsid w:val="005C0ADC"/>
    <w:rsid w:val="005C2A63"/>
    <w:rsid w:val="005C3C97"/>
    <w:rsid w:val="005C5B81"/>
    <w:rsid w:val="005D0B1D"/>
    <w:rsid w:val="005D1E05"/>
    <w:rsid w:val="005D2C65"/>
    <w:rsid w:val="005D3F37"/>
    <w:rsid w:val="005D668A"/>
    <w:rsid w:val="005E17AD"/>
    <w:rsid w:val="005E360D"/>
    <w:rsid w:val="005E3AA7"/>
    <w:rsid w:val="005E4608"/>
    <w:rsid w:val="005E52D1"/>
    <w:rsid w:val="005E5F05"/>
    <w:rsid w:val="005E724D"/>
    <w:rsid w:val="005F0DC6"/>
    <w:rsid w:val="005F19B6"/>
    <w:rsid w:val="005F6D7F"/>
    <w:rsid w:val="005F6E1E"/>
    <w:rsid w:val="005F7A21"/>
    <w:rsid w:val="0060051D"/>
    <w:rsid w:val="006024C2"/>
    <w:rsid w:val="00604DBA"/>
    <w:rsid w:val="00610493"/>
    <w:rsid w:val="0061168F"/>
    <w:rsid w:val="00611CCE"/>
    <w:rsid w:val="006216DF"/>
    <w:rsid w:val="00622F66"/>
    <w:rsid w:val="00630D65"/>
    <w:rsid w:val="00630DB1"/>
    <w:rsid w:val="006337D6"/>
    <w:rsid w:val="0063664D"/>
    <w:rsid w:val="006402E0"/>
    <w:rsid w:val="00640F1A"/>
    <w:rsid w:val="00641D27"/>
    <w:rsid w:val="00642BDE"/>
    <w:rsid w:val="0064309D"/>
    <w:rsid w:val="00645246"/>
    <w:rsid w:val="00646AD7"/>
    <w:rsid w:val="006475BA"/>
    <w:rsid w:val="00651506"/>
    <w:rsid w:val="006524EE"/>
    <w:rsid w:val="00654FD0"/>
    <w:rsid w:val="00655943"/>
    <w:rsid w:val="006567F9"/>
    <w:rsid w:val="00656EF3"/>
    <w:rsid w:val="00657223"/>
    <w:rsid w:val="00663887"/>
    <w:rsid w:val="00663966"/>
    <w:rsid w:val="0066568E"/>
    <w:rsid w:val="00667787"/>
    <w:rsid w:val="0068320E"/>
    <w:rsid w:val="00684CCA"/>
    <w:rsid w:val="006917C7"/>
    <w:rsid w:val="00697B92"/>
    <w:rsid w:val="00697BF0"/>
    <w:rsid w:val="006A15B6"/>
    <w:rsid w:val="006A1CF5"/>
    <w:rsid w:val="006A3FF9"/>
    <w:rsid w:val="006A4B7A"/>
    <w:rsid w:val="006A5438"/>
    <w:rsid w:val="006A69A1"/>
    <w:rsid w:val="006A7C2A"/>
    <w:rsid w:val="006B07F3"/>
    <w:rsid w:val="006B312B"/>
    <w:rsid w:val="006B56BA"/>
    <w:rsid w:val="006B5D88"/>
    <w:rsid w:val="006B60FF"/>
    <w:rsid w:val="006C107C"/>
    <w:rsid w:val="006C75FC"/>
    <w:rsid w:val="006C7998"/>
    <w:rsid w:val="006D007C"/>
    <w:rsid w:val="006D69D2"/>
    <w:rsid w:val="006D76F4"/>
    <w:rsid w:val="006E0E0C"/>
    <w:rsid w:val="006E17A3"/>
    <w:rsid w:val="006E1C56"/>
    <w:rsid w:val="006E3BB1"/>
    <w:rsid w:val="006E409D"/>
    <w:rsid w:val="006E4A3B"/>
    <w:rsid w:val="006E7107"/>
    <w:rsid w:val="006F0515"/>
    <w:rsid w:val="006F2CD7"/>
    <w:rsid w:val="006F317F"/>
    <w:rsid w:val="006F3E96"/>
    <w:rsid w:val="00703491"/>
    <w:rsid w:val="0070395B"/>
    <w:rsid w:val="007050AC"/>
    <w:rsid w:val="00705F73"/>
    <w:rsid w:val="00710304"/>
    <w:rsid w:val="007106EA"/>
    <w:rsid w:val="0071072E"/>
    <w:rsid w:val="007109D1"/>
    <w:rsid w:val="007234AE"/>
    <w:rsid w:val="00723E2B"/>
    <w:rsid w:val="007244CA"/>
    <w:rsid w:val="00733494"/>
    <w:rsid w:val="00734178"/>
    <w:rsid w:val="00736D9B"/>
    <w:rsid w:val="00743237"/>
    <w:rsid w:val="00747FC7"/>
    <w:rsid w:val="00750353"/>
    <w:rsid w:val="00754BFA"/>
    <w:rsid w:val="00761026"/>
    <w:rsid w:val="0076661D"/>
    <w:rsid w:val="007730CA"/>
    <w:rsid w:val="00776376"/>
    <w:rsid w:val="0077770B"/>
    <w:rsid w:val="007803E8"/>
    <w:rsid w:val="00781B53"/>
    <w:rsid w:val="00782171"/>
    <w:rsid w:val="00782240"/>
    <w:rsid w:val="00791C91"/>
    <w:rsid w:val="007943E5"/>
    <w:rsid w:val="00794B00"/>
    <w:rsid w:val="0079533A"/>
    <w:rsid w:val="00796E18"/>
    <w:rsid w:val="00797CFE"/>
    <w:rsid w:val="007A2465"/>
    <w:rsid w:val="007A3803"/>
    <w:rsid w:val="007B0045"/>
    <w:rsid w:val="007B2856"/>
    <w:rsid w:val="007B52DF"/>
    <w:rsid w:val="007B5B33"/>
    <w:rsid w:val="007C3DD3"/>
    <w:rsid w:val="007D421B"/>
    <w:rsid w:val="007D44C5"/>
    <w:rsid w:val="007E0E2B"/>
    <w:rsid w:val="007E59A1"/>
    <w:rsid w:val="007E604E"/>
    <w:rsid w:val="007F1BFF"/>
    <w:rsid w:val="00804CE1"/>
    <w:rsid w:val="00811BFE"/>
    <w:rsid w:val="00816757"/>
    <w:rsid w:val="00817434"/>
    <w:rsid w:val="00817572"/>
    <w:rsid w:val="008270A9"/>
    <w:rsid w:val="008451FF"/>
    <w:rsid w:val="00845648"/>
    <w:rsid w:val="00852928"/>
    <w:rsid w:val="00860231"/>
    <w:rsid w:val="00862483"/>
    <w:rsid w:val="008626F3"/>
    <w:rsid w:val="00864F29"/>
    <w:rsid w:val="00864F8B"/>
    <w:rsid w:val="00865029"/>
    <w:rsid w:val="00866E19"/>
    <w:rsid w:val="00873F27"/>
    <w:rsid w:val="00874F76"/>
    <w:rsid w:val="00883A96"/>
    <w:rsid w:val="008876B9"/>
    <w:rsid w:val="008913E2"/>
    <w:rsid w:val="00891E10"/>
    <w:rsid w:val="00897577"/>
    <w:rsid w:val="008A5D68"/>
    <w:rsid w:val="008A77DA"/>
    <w:rsid w:val="008B1939"/>
    <w:rsid w:val="008C49CB"/>
    <w:rsid w:val="008C4EC3"/>
    <w:rsid w:val="008C693A"/>
    <w:rsid w:val="008D0950"/>
    <w:rsid w:val="008E2093"/>
    <w:rsid w:val="008F1B97"/>
    <w:rsid w:val="008F2CCA"/>
    <w:rsid w:val="008F2D12"/>
    <w:rsid w:val="008F6FFB"/>
    <w:rsid w:val="008F7A29"/>
    <w:rsid w:val="00900226"/>
    <w:rsid w:val="0090025C"/>
    <w:rsid w:val="0090139C"/>
    <w:rsid w:val="00906C88"/>
    <w:rsid w:val="009071F8"/>
    <w:rsid w:val="00911637"/>
    <w:rsid w:val="00911B5F"/>
    <w:rsid w:val="00911F9D"/>
    <w:rsid w:val="009125F1"/>
    <w:rsid w:val="009129B8"/>
    <w:rsid w:val="00914E43"/>
    <w:rsid w:val="00914E9E"/>
    <w:rsid w:val="00926FAE"/>
    <w:rsid w:val="00927EF6"/>
    <w:rsid w:val="00931107"/>
    <w:rsid w:val="00931DA7"/>
    <w:rsid w:val="0093367F"/>
    <w:rsid w:val="00933899"/>
    <w:rsid w:val="009444B3"/>
    <w:rsid w:val="00945175"/>
    <w:rsid w:val="009472ED"/>
    <w:rsid w:val="00952E65"/>
    <w:rsid w:val="0095340D"/>
    <w:rsid w:val="0095417D"/>
    <w:rsid w:val="00967106"/>
    <w:rsid w:val="00972221"/>
    <w:rsid w:val="00980636"/>
    <w:rsid w:val="00981597"/>
    <w:rsid w:val="00982D4D"/>
    <w:rsid w:val="00983502"/>
    <w:rsid w:val="00993876"/>
    <w:rsid w:val="00994CB7"/>
    <w:rsid w:val="009A58EC"/>
    <w:rsid w:val="009A65E9"/>
    <w:rsid w:val="009A7BCE"/>
    <w:rsid w:val="009B08DA"/>
    <w:rsid w:val="009B430D"/>
    <w:rsid w:val="009C0198"/>
    <w:rsid w:val="009C0313"/>
    <w:rsid w:val="009C1005"/>
    <w:rsid w:val="009C2F77"/>
    <w:rsid w:val="009C7FEB"/>
    <w:rsid w:val="009D32F0"/>
    <w:rsid w:val="009D443A"/>
    <w:rsid w:val="009D5EC0"/>
    <w:rsid w:val="009D60C6"/>
    <w:rsid w:val="009E5C0F"/>
    <w:rsid w:val="009F00AF"/>
    <w:rsid w:val="009F1102"/>
    <w:rsid w:val="009F3931"/>
    <w:rsid w:val="009F3F8F"/>
    <w:rsid w:val="009F4382"/>
    <w:rsid w:val="009F5829"/>
    <w:rsid w:val="009F77A5"/>
    <w:rsid w:val="00A00265"/>
    <w:rsid w:val="00A04D7B"/>
    <w:rsid w:val="00A05FA9"/>
    <w:rsid w:val="00A07541"/>
    <w:rsid w:val="00A12EF4"/>
    <w:rsid w:val="00A13927"/>
    <w:rsid w:val="00A158DB"/>
    <w:rsid w:val="00A17E28"/>
    <w:rsid w:val="00A205F7"/>
    <w:rsid w:val="00A214C2"/>
    <w:rsid w:val="00A24907"/>
    <w:rsid w:val="00A27623"/>
    <w:rsid w:val="00A27F4B"/>
    <w:rsid w:val="00A32785"/>
    <w:rsid w:val="00A36249"/>
    <w:rsid w:val="00A4057C"/>
    <w:rsid w:val="00A421EF"/>
    <w:rsid w:val="00A50853"/>
    <w:rsid w:val="00A53FDC"/>
    <w:rsid w:val="00A559BD"/>
    <w:rsid w:val="00A566AB"/>
    <w:rsid w:val="00A65CD7"/>
    <w:rsid w:val="00A729B2"/>
    <w:rsid w:val="00A7599E"/>
    <w:rsid w:val="00A76029"/>
    <w:rsid w:val="00A85459"/>
    <w:rsid w:val="00A85B76"/>
    <w:rsid w:val="00A87358"/>
    <w:rsid w:val="00A8763D"/>
    <w:rsid w:val="00A927E3"/>
    <w:rsid w:val="00A9473B"/>
    <w:rsid w:val="00A95413"/>
    <w:rsid w:val="00A97808"/>
    <w:rsid w:val="00A979A7"/>
    <w:rsid w:val="00AA1ED8"/>
    <w:rsid w:val="00AA381C"/>
    <w:rsid w:val="00AA38BE"/>
    <w:rsid w:val="00AA3E4B"/>
    <w:rsid w:val="00AA49B9"/>
    <w:rsid w:val="00AA7ECD"/>
    <w:rsid w:val="00AB1857"/>
    <w:rsid w:val="00AB756B"/>
    <w:rsid w:val="00AC50CB"/>
    <w:rsid w:val="00AD2241"/>
    <w:rsid w:val="00AD4A86"/>
    <w:rsid w:val="00AD6EAE"/>
    <w:rsid w:val="00AD7C29"/>
    <w:rsid w:val="00AE409A"/>
    <w:rsid w:val="00AE4911"/>
    <w:rsid w:val="00AE60A2"/>
    <w:rsid w:val="00AF05E6"/>
    <w:rsid w:val="00B00D24"/>
    <w:rsid w:val="00B0116A"/>
    <w:rsid w:val="00B05303"/>
    <w:rsid w:val="00B06E12"/>
    <w:rsid w:val="00B12A56"/>
    <w:rsid w:val="00B156E5"/>
    <w:rsid w:val="00B15A16"/>
    <w:rsid w:val="00B20A03"/>
    <w:rsid w:val="00B21BFE"/>
    <w:rsid w:val="00B220F5"/>
    <w:rsid w:val="00B233FD"/>
    <w:rsid w:val="00B26515"/>
    <w:rsid w:val="00B268DB"/>
    <w:rsid w:val="00B27D69"/>
    <w:rsid w:val="00B35F29"/>
    <w:rsid w:val="00B4365E"/>
    <w:rsid w:val="00B44C40"/>
    <w:rsid w:val="00B4529D"/>
    <w:rsid w:val="00B45968"/>
    <w:rsid w:val="00B520D3"/>
    <w:rsid w:val="00B536BB"/>
    <w:rsid w:val="00B5483C"/>
    <w:rsid w:val="00B638B1"/>
    <w:rsid w:val="00B6453A"/>
    <w:rsid w:val="00B71568"/>
    <w:rsid w:val="00B76134"/>
    <w:rsid w:val="00B76B24"/>
    <w:rsid w:val="00B76ED5"/>
    <w:rsid w:val="00B77156"/>
    <w:rsid w:val="00B84E3E"/>
    <w:rsid w:val="00B85857"/>
    <w:rsid w:val="00B86BA4"/>
    <w:rsid w:val="00B95799"/>
    <w:rsid w:val="00B95E7B"/>
    <w:rsid w:val="00BA0890"/>
    <w:rsid w:val="00BA5388"/>
    <w:rsid w:val="00BA5E76"/>
    <w:rsid w:val="00BB0AEC"/>
    <w:rsid w:val="00BB4C1D"/>
    <w:rsid w:val="00BB633D"/>
    <w:rsid w:val="00BC04D0"/>
    <w:rsid w:val="00BC15FE"/>
    <w:rsid w:val="00BC4354"/>
    <w:rsid w:val="00BC6B93"/>
    <w:rsid w:val="00BD56A5"/>
    <w:rsid w:val="00BD59F9"/>
    <w:rsid w:val="00BD79DF"/>
    <w:rsid w:val="00BE1CD1"/>
    <w:rsid w:val="00BE3D49"/>
    <w:rsid w:val="00BE6277"/>
    <w:rsid w:val="00BE6856"/>
    <w:rsid w:val="00BE6E6A"/>
    <w:rsid w:val="00BF598D"/>
    <w:rsid w:val="00BF5BA2"/>
    <w:rsid w:val="00C01709"/>
    <w:rsid w:val="00C0468E"/>
    <w:rsid w:val="00C12A52"/>
    <w:rsid w:val="00C131C2"/>
    <w:rsid w:val="00C14644"/>
    <w:rsid w:val="00C167BA"/>
    <w:rsid w:val="00C16FB4"/>
    <w:rsid w:val="00C31083"/>
    <w:rsid w:val="00C456D5"/>
    <w:rsid w:val="00C4672B"/>
    <w:rsid w:val="00C52A31"/>
    <w:rsid w:val="00C5338C"/>
    <w:rsid w:val="00C53CC6"/>
    <w:rsid w:val="00C57295"/>
    <w:rsid w:val="00C62C95"/>
    <w:rsid w:val="00C634FE"/>
    <w:rsid w:val="00C72409"/>
    <w:rsid w:val="00C74D8C"/>
    <w:rsid w:val="00C750B5"/>
    <w:rsid w:val="00C763AE"/>
    <w:rsid w:val="00C77137"/>
    <w:rsid w:val="00C81BD0"/>
    <w:rsid w:val="00C81C4F"/>
    <w:rsid w:val="00C85024"/>
    <w:rsid w:val="00C903AF"/>
    <w:rsid w:val="00C909D8"/>
    <w:rsid w:val="00C91123"/>
    <w:rsid w:val="00C92CA3"/>
    <w:rsid w:val="00C93AF1"/>
    <w:rsid w:val="00C93D77"/>
    <w:rsid w:val="00CA0022"/>
    <w:rsid w:val="00CA0F0D"/>
    <w:rsid w:val="00CA21A2"/>
    <w:rsid w:val="00CA3D8A"/>
    <w:rsid w:val="00CA5A43"/>
    <w:rsid w:val="00CA6B9D"/>
    <w:rsid w:val="00CB4C50"/>
    <w:rsid w:val="00CB4EFE"/>
    <w:rsid w:val="00CB65C1"/>
    <w:rsid w:val="00CC0913"/>
    <w:rsid w:val="00CC1887"/>
    <w:rsid w:val="00CD102E"/>
    <w:rsid w:val="00CD45FD"/>
    <w:rsid w:val="00CD4A31"/>
    <w:rsid w:val="00CD5FFB"/>
    <w:rsid w:val="00CE533D"/>
    <w:rsid w:val="00CE7CFB"/>
    <w:rsid w:val="00CF062B"/>
    <w:rsid w:val="00CF136A"/>
    <w:rsid w:val="00CF5CF3"/>
    <w:rsid w:val="00D0099C"/>
    <w:rsid w:val="00D0520A"/>
    <w:rsid w:val="00D07D91"/>
    <w:rsid w:val="00D12C25"/>
    <w:rsid w:val="00D15376"/>
    <w:rsid w:val="00D165B4"/>
    <w:rsid w:val="00D20969"/>
    <w:rsid w:val="00D23D94"/>
    <w:rsid w:val="00D26DDA"/>
    <w:rsid w:val="00D270AA"/>
    <w:rsid w:val="00D27763"/>
    <w:rsid w:val="00D277F5"/>
    <w:rsid w:val="00D27A9F"/>
    <w:rsid w:val="00D27E09"/>
    <w:rsid w:val="00D3128D"/>
    <w:rsid w:val="00D32D33"/>
    <w:rsid w:val="00D35C4F"/>
    <w:rsid w:val="00D35D6D"/>
    <w:rsid w:val="00D36508"/>
    <w:rsid w:val="00D425A0"/>
    <w:rsid w:val="00D4333E"/>
    <w:rsid w:val="00D44DA6"/>
    <w:rsid w:val="00D47737"/>
    <w:rsid w:val="00D57F2E"/>
    <w:rsid w:val="00D60D87"/>
    <w:rsid w:val="00D64844"/>
    <w:rsid w:val="00D653EE"/>
    <w:rsid w:val="00D67E39"/>
    <w:rsid w:val="00D710AA"/>
    <w:rsid w:val="00D7578F"/>
    <w:rsid w:val="00D75E19"/>
    <w:rsid w:val="00D761D8"/>
    <w:rsid w:val="00D76FA4"/>
    <w:rsid w:val="00D822DD"/>
    <w:rsid w:val="00D9100C"/>
    <w:rsid w:val="00D91A40"/>
    <w:rsid w:val="00D928B2"/>
    <w:rsid w:val="00D92C86"/>
    <w:rsid w:val="00D97D85"/>
    <w:rsid w:val="00DA175E"/>
    <w:rsid w:val="00DA34B4"/>
    <w:rsid w:val="00DA3780"/>
    <w:rsid w:val="00DB6C8C"/>
    <w:rsid w:val="00DB6EF0"/>
    <w:rsid w:val="00DC340C"/>
    <w:rsid w:val="00DC347A"/>
    <w:rsid w:val="00DD316A"/>
    <w:rsid w:val="00DD7282"/>
    <w:rsid w:val="00DE1653"/>
    <w:rsid w:val="00DF3D3A"/>
    <w:rsid w:val="00E03173"/>
    <w:rsid w:val="00E033E0"/>
    <w:rsid w:val="00E03DE7"/>
    <w:rsid w:val="00E06F8E"/>
    <w:rsid w:val="00E10BE2"/>
    <w:rsid w:val="00E164A1"/>
    <w:rsid w:val="00E169DF"/>
    <w:rsid w:val="00E33443"/>
    <w:rsid w:val="00E4181B"/>
    <w:rsid w:val="00E43E37"/>
    <w:rsid w:val="00E45120"/>
    <w:rsid w:val="00E52A31"/>
    <w:rsid w:val="00E530D9"/>
    <w:rsid w:val="00E54716"/>
    <w:rsid w:val="00E54D50"/>
    <w:rsid w:val="00E64698"/>
    <w:rsid w:val="00E655FB"/>
    <w:rsid w:val="00E702D2"/>
    <w:rsid w:val="00E722BD"/>
    <w:rsid w:val="00E73834"/>
    <w:rsid w:val="00E747BD"/>
    <w:rsid w:val="00E76887"/>
    <w:rsid w:val="00E816B0"/>
    <w:rsid w:val="00E82E21"/>
    <w:rsid w:val="00E83EEE"/>
    <w:rsid w:val="00E86D8E"/>
    <w:rsid w:val="00E86F42"/>
    <w:rsid w:val="00E875A0"/>
    <w:rsid w:val="00E925A0"/>
    <w:rsid w:val="00E93721"/>
    <w:rsid w:val="00EA1DAA"/>
    <w:rsid w:val="00EA31BA"/>
    <w:rsid w:val="00EA4D34"/>
    <w:rsid w:val="00EA4DB9"/>
    <w:rsid w:val="00EA7B96"/>
    <w:rsid w:val="00EB52E9"/>
    <w:rsid w:val="00EB6CEE"/>
    <w:rsid w:val="00EC0687"/>
    <w:rsid w:val="00EC1255"/>
    <w:rsid w:val="00EC4990"/>
    <w:rsid w:val="00ED28D4"/>
    <w:rsid w:val="00ED62AC"/>
    <w:rsid w:val="00EE0CCA"/>
    <w:rsid w:val="00EE1EFB"/>
    <w:rsid w:val="00EE2E10"/>
    <w:rsid w:val="00EE43E1"/>
    <w:rsid w:val="00EE5D97"/>
    <w:rsid w:val="00EF1AA6"/>
    <w:rsid w:val="00EF5780"/>
    <w:rsid w:val="00F00D31"/>
    <w:rsid w:val="00F014B3"/>
    <w:rsid w:val="00F131FE"/>
    <w:rsid w:val="00F15371"/>
    <w:rsid w:val="00F15724"/>
    <w:rsid w:val="00F15AC9"/>
    <w:rsid w:val="00F17E9A"/>
    <w:rsid w:val="00F20FD3"/>
    <w:rsid w:val="00F22EA7"/>
    <w:rsid w:val="00F253E4"/>
    <w:rsid w:val="00F303CE"/>
    <w:rsid w:val="00F347A6"/>
    <w:rsid w:val="00F348E1"/>
    <w:rsid w:val="00F34E1B"/>
    <w:rsid w:val="00F35363"/>
    <w:rsid w:val="00F353D5"/>
    <w:rsid w:val="00F373F3"/>
    <w:rsid w:val="00F435C1"/>
    <w:rsid w:val="00F43871"/>
    <w:rsid w:val="00F476C8"/>
    <w:rsid w:val="00F500F7"/>
    <w:rsid w:val="00F510A3"/>
    <w:rsid w:val="00F53040"/>
    <w:rsid w:val="00F60503"/>
    <w:rsid w:val="00F60609"/>
    <w:rsid w:val="00F60C92"/>
    <w:rsid w:val="00F61E65"/>
    <w:rsid w:val="00F652D2"/>
    <w:rsid w:val="00F675FE"/>
    <w:rsid w:val="00F700E2"/>
    <w:rsid w:val="00F723CD"/>
    <w:rsid w:val="00F73432"/>
    <w:rsid w:val="00F74484"/>
    <w:rsid w:val="00F83169"/>
    <w:rsid w:val="00F8679D"/>
    <w:rsid w:val="00F9042D"/>
    <w:rsid w:val="00F91BF7"/>
    <w:rsid w:val="00F95104"/>
    <w:rsid w:val="00F97C42"/>
    <w:rsid w:val="00FA0E1B"/>
    <w:rsid w:val="00FA4CCF"/>
    <w:rsid w:val="00FA7018"/>
    <w:rsid w:val="00FC0F64"/>
    <w:rsid w:val="00FC1978"/>
    <w:rsid w:val="00FC5F89"/>
    <w:rsid w:val="00FE051C"/>
    <w:rsid w:val="00FE153D"/>
    <w:rsid w:val="00FE73C8"/>
    <w:rsid w:val="00FF05C7"/>
    <w:rsid w:val="00FF07BE"/>
    <w:rsid w:val="00FF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FA4"/>
    <w:pPr>
      <w:ind w:left="720"/>
      <w:contextualSpacing/>
    </w:pPr>
  </w:style>
  <w:style w:type="paragraph" w:styleId="NoSpacing">
    <w:name w:val="No Spacing"/>
    <w:uiPriority w:val="1"/>
    <w:qFormat/>
    <w:rsid w:val="00485C78"/>
    <w:pPr>
      <w:spacing w:after="0" w:line="240" w:lineRule="auto"/>
    </w:pPr>
  </w:style>
  <w:style w:type="character" w:styleId="CommentReference">
    <w:name w:val="annotation reference"/>
    <w:basedOn w:val="DefaultParagraphFont"/>
    <w:uiPriority w:val="99"/>
    <w:semiHidden/>
    <w:unhideWhenUsed/>
    <w:rsid w:val="00E76887"/>
    <w:rPr>
      <w:sz w:val="16"/>
      <w:szCs w:val="16"/>
    </w:rPr>
  </w:style>
  <w:style w:type="paragraph" w:styleId="CommentText">
    <w:name w:val="annotation text"/>
    <w:basedOn w:val="Normal"/>
    <w:link w:val="CommentTextChar"/>
    <w:uiPriority w:val="99"/>
    <w:semiHidden/>
    <w:unhideWhenUsed/>
    <w:rsid w:val="00E76887"/>
    <w:pPr>
      <w:spacing w:line="240" w:lineRule="auto"/>
    </w:pPr>
    <w:rPr>
      <w:sz w:val="20"/>
      <w:szCs w:val="20"/>
    </w:rPr>
  </w:style>
  <w:style w:type="character" w:customStyle="1" w:styleId="CommentTextChar">
    <w:name w:val="Comment Text Char"/>
    <w:basedOn w:val="DefaultParagraphFont"/>
    <w:link w:val="CommentText"/>
    <w:uiPriority w:val="99"/>
    <w:semiHidden/>
    <w:rsid w:val="00E76887"/>
    <w:rPr>
      <w:sz w:val="20"/>
      <w:szCs w:val="20"/>
    </w:rPr>
  </w:style>
  <w:style w:type="paragraph" w:styleId="CommentSubject">
    <w:name w:val="annotation subject"/>
    <w:basedOn w:val="CommentText"/>
    <w:next w:val="CommentText"/>
    <w:link w:val="CommentSubjectChar"/>
    <w:uiPriority w:val="99"/>
    <w:semiHidden/>
    <w:unhideWhenUsed/>
    <w:rsid w:val="00E76887"/>
    <w:rPr>
      <w:b/>
      <w:bCs/>
    </w:rPr>
  </w:style>
  <w:style w:type="character" w:customStyle="1" w:styleId="CommentSubjectChar">
    <w:name w:val="Comment Subject Char"/>
    <w:basedOn w:val="CommentTextChar"/>
    <w:link w:val="CommentSubject"/>
    <w:uiPriority w:val="99"/>
    <w:semiHidden/>
    <w:rsid w:val="00E76887"/>
    <w:rPr>
      <w:b/>
      <w:bCs/>
      <w:sz w:val="20"/>
      <w:szCs w:val="20"/>
    </w:rPr>
  </w:style>
  <w:style w:type="paragraph" w:styleId="BalloonText">
    <w:name w:val="Balloon Text"/>
    <w:basedOn w:val="Normal"/>
    <w:link w:val="BalloonTextChar"/>
    <w:uiPriority w:val="99"/>
    <w:semiHidden/>
    <w:unhideWhenUsed/>
    <w:rsid w:val="00E76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887"/>
    <w:rPr>
      <w:rFonts w:ascii="Tahoma" w:hAnsi="Tahoma" w:cs="Tahoma"/>
      <w:sz w:val="16"/>
      <w:szCs w:val="16"/>
    </w:rPr>
  </w:style>
  <w:style w:type="character" w:styleId="Hyperlink">
    <w:name w:val="Hyperlink"/>
    <w:basedOn w:val="DefaultParagraphFont"/>
    <w:uiPriority w:val="99"/>
    <w:semiHidden/>
    <w:unhideWhenUsed/>
    <w:rsid w:val="006E0E0C"/>
    <w:rPr>
      <w:color w:val="0000FF"/>
      <w:u w:val="single"/>
    </w:rPr>
  </w:style>
  <w:style w:type="paragraph" w:styleId="NormalWeb">
    <w:name w:val="Normal (Web)"/>
    <w:basedOn w:val="Normal"/>
    <w:uiPriority w:val="99"/>
    <w:semiHidden/>
    <w:unhideWhenUsed/>
    <w:rsid w:val="0025529F"/>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4B5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E74"/>
  </w:style>
  <w:style w:type="paragraph" w:styleId="Footer">
    <w:name w:val="footer"/>
    <w:basedOn w:val="Normal"/>
    <w:link w:val="FooterChar"/>
    <w:uiPriority w:val="99"/>
    <w:unhideWhenUsed/>
    <w:rsid w:val="004B5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FA4"/>
    <w:pPr>
      <w:ind w:left="720"/>
      <w:contextualSpacing/>
    </w:pPr>
  </w:style>
  <w:style w:type="paragraph" w:styleId="NoSpacing">
    <w:name w:val="No Spacing"/>
    <w:uiPriority w:val="1"/>
    <w:qFormat/>
    <w:rsid w:val="00485C78"/>
    <w:pPr>
      <w:spacing w:after="0" w:line="240" w:lineRule="auto"/>
    </w:pPr>
  </w:style>
  <w:style w:type="character" w:styleId="CommentReference">
    <w:name w:val="annotation reference"/>
    <w:basedOn w:val="DefaultParagraphFont"/>
    <w:uiPriority w:val="99"/>
    <w:semiHidden/>
    <w:unhideWhenUsed/>
    <w:rsid w:val="00E76887"/>
    <w:rPr>
      <w:sz w:val="16"/>
      <w:szCs w:val="16"/>
    </w:rPr>
  </w:style>
  <w:style w:type="paragraph" w:styleId="CommentText">
    <w:name w:val="annotation text"/>
    <w:basedOn w:val="Normal"/>
    <w:link w:val="CommentTextChar"/>
    <w:uiPriority w:val="99"/>
    <w:semiHidden/>
    <w:unhideWhenUsed/>
    <w:rsid w:val="00E76887"/>
    <w:pPr>
      <w:spacing w:line="240" w:lineRule="auto"/>
    </w:pPr>
    <w:rPr>
      <w:sz w:val="20"/>
      <w:szCs w:val="20"/>
    </w:rPr>
  </w:style>
  <w:style w:type="character" w:customStyle="1" w:styleId="CommentTextChar">
    <w:name w:val="Comment Text Char"/>
    <w:basedOn w:val="DefaultParagraphFont"/>
    <w:link w:val="CommentText"/>
    <w:uiPriority w:val="99"/>
    <w:semiHidden/>
    <w:rsid w:val="00E76887"/>
    <w:rPr>
      <w:sz w:val="20"/>
      <w:szCs w:val="20"/>
    </w:rPr>
  </w:style>
  <w:style w:type="paragraph" w:styleId="CommentSubject">
    <w:name w:val="annotation subject"/>
    <w:basedOn w:val="CommentText"/>
    <w:next w:val="CommentText"/>
    <w:link w:val="CommentSubjectChar"/>
    <w:uiPriority w:val="99"/>
    <w:semiHidden/>
    <w:unhideWhenUsed/>
    <w:rsid w:val="00E76887"/>
    <w:rPr>
      <w:b/>
      <w:bCs/>
    </w:rPr>
  </w:style>
  <w:style w:type="character" w:customStyle="1" w:styleId="CommentSubjectChar">
    <w:name w:val="Comment Subject Char"/>
    <w:basedOn w:val="CommentTextChar"/>
    <w:link w:val="CommentSubject"/>
    <w:uiPriority w:val="99"/>
    <w:semiHidden/>
    <w:rsid w:val="00E76887"/>
    <w:rPr>
      <w:b/>
      <w:bCs/>
      <w:sz w:val="20"/>
      <w:szCs w:val="20"/>
    </w:rPr>
  </w:style>
  <w:style w:type="paragraph" w:styleId="BalloonText">
    <w:name w:val="Balloon Text"/>
    <w:basedOn w:val="Normal"/>
    <w:link w:val="BalloonTextChar"/>
    <w:uiPriority w:val="99"/>
    <w:semiHidden/>
    <w:unhideWhenUsed/>
    <w:rsid w:val="00E76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887"/>
    <w:rPr>
      <w:rFonts w:ascii="Tahoma" w:hAnsi="Tahoma" w:cs="Tahoma"/>
      <w:sz w:val="16"/>
      <w:szCs w:val="16"/>
    </w:rPr>
  </w:style>
  <w:style w:type="character" w:styleId="Hyperlink">
    <w:name w:val="Hyperlink"/>
    <w:basedOn w:val="DefaultParagraphFont"/>
    <w:uiPriority w:val="99"/>
    <w:semiHidden/>
    <w:unhideWhenUsed/>
    <w:rsid w:val="006E0E0C"/>
    <w:rPr>
      <w:color w:val="0000FF"/>
      <w:u w:val="single"/>
    </w:rPr>
  </w:style>
  <w:style w:type="paragraph" w:styleId="NormalWeb">
    <w:name w:val="Normal (Web)"/>
    <w:basedOn w:val="Normal"/>
    <w:uiPriority w:val="99"/>
    <w:semiHidden/>
    <w:unhideWhenUsed/>
    <w:rsid w:val="0025529F"/>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4B5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E74"/>
  </w:style>
  <w:style w:type="paragraph" w:styleId="Footer">
    <w:name w:val="footer"/>
    <w:basedOn w:val="Normal"/>
    <w:link w:val="FooterChar"/>
    <w:uiPriority w:val="99"/>
    <w:unhideWhenUsed/>
    <w:rsid w:val="004B5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80998">
      <w:bodyDiv w:val="1"/>
      <w:marLeft w:val="0"/>
      <w:marRight w:val="0"/>
      <w:marTop w:val="0"/>
      <w:marBottom w:val="0"/>
      <w:divBdr>
        <w:top w:val="none" w:sz="0" w:space="0" w:color="auto"/>
        <w:left w:val="none" w:sz="0" w:space="0" w:color="auto"/>
        <w:bottom w:val="none" w:sz="0" w:space="0" w:color="auto"/>
        <w:right w:val="none" w:sz="0" w:space="0" w:color="auto"/>
      </w:divBdr>
      <w:divsChild>
        <w:div w:id="1735421738">
          <w:marLeft w:val="0"/>
          <w:marRight w:val="0"/>
          <w:marTop w:val="0"/>
          <w:marBottom w:val="0"/>
          <w:divBdr>
            <w:top w:val="none" w:sz="0" w:space="0" w:color="auto"/>
            <w:left w:val="none" w:sz="0" w:space="0" w:color="auto"/>
            <w:bottom w:val="none" w:sz="0" w:space="0" w:color="auto"/>
            <w:right w:val="none" w:sz="0" w:space="0" w:color="auto"/>
          </w:divBdr>
        </w:div>
      </w:divsChild>
    </w:div>
    <w:div w:id="14969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5DB21BE0129B4AB17EA71A1F6EBA04" ma:contentTypeVersion="0" ma:contentTypeDescription="Create a new document." ma:contentTypeScope="" ma:versionID="0eaaba871dec39686b9e74db6a09ff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E1C95-40FB-4F58-8290-D2BE1D9ED6D2}"/>
</file>

<file path=customXml/itemProps2.xml><?xml version="1.0" encoding="utf-8"?>
<ds:datastoreItem xmlns:ds="http://schemas.openxmlformats.org/officeDocument/2006/customXml" ds:itemID="{E5A600F9-36FA-4690-BE30-86092776B180}"/>
</file>

<file path=customXml/itemProps3.xml><?xml version="1.0" encoding="utf-8"?>
<ds:datastoreItem xmlns:ds="http://schemas.openxmlformats.org/officeDocument/2006/customXml" ds:itemID="{7B63C507-D651-418E-BF54-F498B4B6E0D5}"/>
</file>

<file path=customXml/itemProps4.xml><?xml version="1.0" encoding="utf-8"?>
<ds:datastoreItem xmlns:ds="http://schemas.openxmlformats.org/officeDocument/2006/customXml" ds:itemID="{CF56EC66-AE68-4213-96C1-70D22C83ED99}"/>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dc:creator>
  <cp:lastModifiedBy>Summer Goodwin</cp:lastModifiedBy>
  <cp:revision>3</cp:revision>
  <cp:lastPrinted>2014-06-04T16:25:00Z</cp:lastPrinted>
  <dcterms:created xsi:type="dcterms:W3CDTF">2014-06-04T17:09:00Z</dcterms:created>
  <dcterms:modified xsi:type="dcterms:W3CDTF">2014-06-04T17:45:00Z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114110946</vt:i4>
  </property>
  <property fmtid="{D5CDD505-2E9C-101B-9397-08002B2CF9AE}" pid="3" name="ContentTypeId">
    <vt:lpwstr>0x0101005F5DB21BE0129B4AB17EA71A1F6EBA04</vt:lpwstr>
  </property>
  <property fmtid="{D5CDD505-2E9C-101B-9397-08002B2CF9AE}" pid="4" name="TemplateUrl">
    <vt:lpwstr/>
  </property>
  <property fmtid="{D5CDD505-2E9C-101B-9397-08002B2CF9AE}" pid="5" name="Order">
    <vt:r8>4800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