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D7589" w14:textId="77777777" w:rsidR="007829A1" w:rsidRPr="007829A1" w:rsidRDefault="007829A1" w:rsidP="007829A1">
      <w:pPr>
        <w:keepNext/>
        <w:suppressAutoHyphens/>
        <w:autoSpaceDE w:val="0"/>
        <w:autoSpaceDN w:val="0"/>
        <w:adjustRightInd w:val="0"/>
        <w:spacing w:line="38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829A1">
        <w:rPr>
          <w:rFonts w:ascii="Arial" w:hAnsi="Arial" w:cs="Arial"/>
          <w:b/>
          <w:bCs/>
          <w:color w:val="000000"/>
          <w:sz w:val="32"/>
          <w:szCs w:val="32"/>
        </w:rPr>
        <w:t>Prescriptive Attic Air Sealing Installation Checklist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420"/>
        <w:gridCol w:w="3900"/>
        <w:gridCol w:w="1460"/>
        <w:gridCol w:w="700"/>
        <w:gridCol w:w="2160"/>
        <w:gridCol w:w="40"/>
        <w:gridCol w:w="1310"/>
        <w:gridCol w:w="270"/>
        <w:gridCol w:w="270"/>
        <w:gridCol w:w="270"/>
      </w:tblGrid>
      <w:tr w:rsidR="00F60398" w:rsidRPr="00D44E9C" w14:paraId="37E23F23" w14:textId="77777777" w:rsidTr="007829A1">
        <w:trPr>
          <w:jc w:val="center"/>
        </w:trPr>
        <w:tc>
          <w:tcPr>
            <w:tcW w:w="6480" w:type="dxa"/>
            <w:gridSpan w:val="4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0A2B3B85" w14:textId="77777777" w:rsidR="00F60398" w:rsidRPr="00D44E9C" w:rsidRDefault="00F60398" w:rsidP="007829A1">
            <w:pPr>
              <w:pStyle w:val="HeadingRunIn"/>
              <w:keepNext w:val="0"/>
              <w:suppressAutoHyphens/>
              <w:spacing w:before="0"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4E9C">
              <w:rPr>
                <w:rFonts w:ascii="Arial" w:hAnsi="Arial" w:cs="Arial"/>
                <w:w w:val="100"/>
                <w:sz w:val="22"/>
                <w:szCs w:val="22"/>
              </w:rPr>
              <w:t>Site Information</w:t>
            </w:r>
          </w:p>
        </w:tc>
        <w:tc>
          <w:tcPr>
            <w:tcW w:w="4320" w:type="dxa"/>
            <w:gridSpan w:val="6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37970687" w14:textId="77777777" w:rsidR="00F60398" w:rsidRPr="00D44E9C" w:rsidRDefault="00F60398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44E9C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Install Date:</w:t>
            </w:r>
          </w:p>
        </w:tc>
      </w:tr>
      <w:tr w:rsidR="00F60398" w:rsidRPr="00D44E9C" w14:paraId="7ACEA6A0" w14:textId="77777777" w:rsidTr="007829A1">
        <w:trPr>
          <w:jc w:val="center"/>
        </w:trPr>
        <w:tc>
          <w:tcPr>
            <w:tcW w:w="6480" w:type="dxa"/>
            <w:gridSpan w:val="4"/>
            <w:tcBorders>
              <w:top w:val="single" w:sz="16" w:space="0" w:color="000000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7D9CF03C" w14:textId="77777777" w:rsidR="00F60398" w:rsidRPr="00D44E9C" w:rsidRDefault="00F60398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44E9C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Participant Name:</w:t>
            </w:r>
          </w:p>
        </w:tc>
        <w:tc>
          <w:tcPr>
            <w:tcW w:w="2160" w:type="dxa"/>
            <w:tcBorders>
              <w:top w:val="nil"/>
              <w:left w:val="single" w:sz="8" w:space="0" w:color="B3B3B3"/>
              <w:bottom w:val="single" w:sz="8" w:space="0" w:color="B3B3B3"/>
              <w:right w:val="nil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08B93BCA" w14:textId="77777777" w:rsidR="00F60398" w:rsidRPr="00D44E9C" w:rsidRDefault="00F60398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44E9C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Participant Phone: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45376FF3" w14:textId="77777777" w:rsidR="00F60398" w:rsidRPr="00D44E9C" w:rsidRDefault="00F60398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F60398" w:rsidRPr="00D44E9C" w14:paraId="27F84D9E" w14:textId="77777777" w:rsidTr="007829A1">
        <w:trPr>
          <w:jc w:val="center"/>
        </w:trPr>
        <w:tc>
          <w:tcPr>
            <w:tcW w:w="4320" w:type="dxa"/>
            <w:gridSpan w:val="2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64DB30CC" w14:textId="77777777" w:rsidR="00F60398" w:rsidRPr="00D44E9C" w:rsidRDefault="00F60398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44E9C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Site Address:</w:t>
            </w:r>
          </w:p>
        </w:tc>
        <w:tc>
          <w:tcPr>
            <w:tcW w:w="2160" w:type="dxa"/>
            <w:gridSpan w:val="2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47EBF8DF" w14:textId="77777777" w:rsidR="00F60398" w:rsidRPr="00D44E9C" w:rsidRDefault="00F60398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44E9C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City:</w:t>
            </w:r>
          </w:p>
        </w:tc>
        <w:tc>
          <w:tcPr>
            <w:tcW w:w="2160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42B75908" w14:textId="77777777" w:rsidR="00F60398" w:rsidRPr="00D44E9C" w:rsidRDefault="00F60398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44E9C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State:</w:t>
            </w:r>
          </w:p>
        </w:tc>
        <w:tc>
          <w:tcPr>
            <w:tcW w:w="2160" w:type="dxa"/>
            <w:gridSpan w:val="5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0EDF4F77" w14:textId="77777777" w:rsidR="00F60398" w:rsidRPr="00D44E9C" w:rsidRDefault="00F60398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44E9C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Zip:</w:t>
            </w:r>
          </w:p>
        </w:tc>
      </w:tr>
      <w:tr w:rsidR="007829A1" w14:paraId="7C3EED5D" w14:textId="77777777" w:rsidTr="007829A1">
        <w:trPr>
          <w:trHeight w:val="1089"/>
          <w:jc w:val="center"/>
        </w:trPr>
        <w:tc>
          <w:tcPr>
            <w:tcW w:w="9990" w:type="dxa"/>
            <w:gridSpan w:val="7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6060B301" w14:textId="77777777" w:rsidR="007829A1" w:rsidRDefault="007829A1" w:rsidP="007829A1">
            <w:pPr>
              <w:pStyle w:val="HeadingRunIn"/>
              <w:suppressAutoHyphens/>
              <w:spacing w:before="0"/>
              <w:rPr>
                <w:rFonts w:ascii="Myriad Pro" w:hAnsi="Myriad Pro" w:cs="Myriad Pro"/>
              </w:rPr>
            </w:pPr>
          </w:p>
        </w:tc>
        <w:tc>
          <w:tcPr>
            <w:tcW w:w="270" w:type="dxa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textDirection w:val="btLr"/>
            <w:vAlign w:val="center"/>
          </w:tcPr>
          <w:p w14:paraId="78C01237" w14:textId="77777777" w:rsidR="007829A1" w:rsidRDefault="007829A1" w:rsidP="007829A1">
            <w:pPr>
              <w:pStyle w:val="HeadingRunIn"/>
              <w:keepNext w:val="0"/>
              <w:suppressAutoHyphens/>
              <w:spacing w:before="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100"/>
                <w:sz w:val="22"/>
                <w:szCs w:val="22"/>
              </w:rPr>
              <w:t>Installer</w:t>
            </w:r>
          </w:p>
        </w:tc>
        <w:tc>
          <w:tcPr>
            <w:tcW w:w="270" w:type="dxa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textDirection w:val="btLr"/>
            <w:vAlign w:val="center"/>
          </w:tcPr>
          <w:p w14:paraId="7B87B48C" w14:textId="77777777" w:rsidR="007829A1" w:rsidRDefault="007829A1" w:rsidP="007829A1">
            <w:pPr>
              <w:pStyle w:val="HeadingRunIn"/>
              <w:keepNext w:val="0"/>
              <w:suppressAutoHyphens/>
              <w:spacing w:before="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100"/>
                <w:sz w:val="22"/>
                <w:szCs w:val="22"/>
              </w:rPr>
              <w:t>Foreman</w:t>
            </w:r>
          </w:p>
        </w:tc>
        <w:tc>
          <w:tcPr>
            <w:tcW w:w="270" w:type="dxa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textDirection w:val="btLr"/>
            <w:vAlign w:val="center"/>
          </w:tcPr>
          <w:p w14:paraId="202666B5" w14:textId="77777777" w:rsidR="007829A1" w:rsidRDefault="007829A1" w:rsidP="007829A1">
            <w:pPr>
              <w:pStyle w:val="HeadingRunIn"/>
              <w:keepNext w:val="0"/>
              <w:suppressAutoHyphens/>
              <w:spacing w:before="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100"/>
                <w:sz w:val="22"/>
                <w:szCs w:val="22"/>
              </w:rPr>
              <w:t>Inspector</w:t>
            </w:r>
          </w:p>
        </w:tc>
      </w:tr>
      <w:tr w:rsidR="007829A1" w14:paraId="4FBF9007" w14:textId="77777777" w:rsidTr="007829A1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15251128" w14:textId="77777777" w:rsidR="007829A1" w:rsidRDefault="007829A1" w:rsidP="007829A1">
            <w:pPr>
              <w:pStyle w:val="HeadingRunIn"/>
              <w:keepNext w:val="0"/>
              <w:numPr>
                <w:ilvl w:val="0"/>
                <w:numId w:val="24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4A0FF57C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Weather-stripping: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 xml:space="preserve"> Installed between the attic access frame and hatch provides an effective air seal.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61497A99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5AF136A4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72CA2377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829A1" w14:paraId="1C0835D8" w14:textId="77777777" w:rsidTr="007829A1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030549DE" w14:textId="77777777" w:rsidR="007829A1" w:rsidRDefault="007829A1" w:rsidP="007829A1">
            <w:pPr>
              <w:pStyle w:val="HeadingRunIn"/>
              <w:keepNext w:val="0"/>
              <w:numPr>
                <w:ilvl w:val="0"/>
                <w:numId w:val="25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7CEF7DA5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Gasket or weather-stripping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Installed between pull down stair cover frame and door provides an effective air seal, or an air-tight cover installed between stairs and attic.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0AB42566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3C0B673D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1C8456F2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829A1" w14:paraId="21E2FC60" w14:textId="77777777" w:rsidTr="007829A1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02064E3A" w14:textId="77777777" w:rsidR="007829A1" w:rsidRDefault="007829A1" w:rsidP="007829A1">
            <w:pPr>
              <w:pStyle w:val="HeadingRunIn"/>
              <w:keepNext w:val="0"/>
              <w:numPr>
                <w:ilvl w:val="0"/>
                <w:numId w:val="26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46F3C7BC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Duct boots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Mastic, caulk, or other air-tight seal installed around the perimeter of duct boots between the boot and the ceiling.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114247C6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36C8448E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3BFADC52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829A1" w14:paraId="52828E46" w14:textId="77777777" w:rsidTr="007829A1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1BF8A666" w14:textId="77777777" w:rsidR="007829A1" w:rsidRDefault="007829A1" w:rsidP="007829A1">
            <w:pPr>
              <w:pStyle w:val="HeadingRunIn"/>
              <w:keepNext w:val="0"/>
              <w:numPr>
                <w:ilvl w:val="0"/>
                <w:numId w:val="27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2D146163" w14:textId="319EB90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Chases: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 xml:space="preserve"> Sealed with foam, caulking, and rigid barriers attached to attic floor or wall. Clearances maintained from combustible materials. Fire-rated materials used as appropriate near heat-producing devices.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01E8CDA3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5B25A24E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4DD07E1A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829A1" w14:paraId="66D0BF1C" w14:textId="77777777" w:rsidTr="007829A1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759903AB" w14:textId="77777777" w:rsidR="007829A1" w:rsidRDefault="007829A1" w:rsidP="007829A1">
            <w:pPr>
              <w:pStyle w:val="HeadingRunIn"/>
              <w:keepNext w:val="0"/>
              <w:numPr>
                <w:ilvl w:val="0"/>
                <w:numId w:val="28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0A2EBB13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Non-IC rated fixtures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Foam, caulk or another air-tight seal installed between fixture and ceiling, or a drywall or another non-flammable air-sealed insulation shield installed over fixture. Shield extended above new attic insulation. No insulation covers the top of the shield.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3DCB766F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418B5272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18E6BC41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829A1" w14:paraId="5BFB73A9" w14:textId="77777777" w:rsidTr="007829A1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71408988" w14:textId="77777777" w:rsidR="007829A1" w:rsidRDefault="007829A1" w:rsidP="007829A1">
            <w:pPr>
              <w:pStyle w:val="HeadingRunIn"/>
              <w:keepNext w:val="0"/>
              <w:numPr>
                <w:ilvl w:val="0"/>
                <w:numId w:val="29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53E929FB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IC rated fixtures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Fixture sealed between interior finish and the fixture. Fixture is not covered with spray foam and openings in the fixture are not sealed. An air-tight box or prefabricated cover is acceptable. Attic insulation installed over fixture.</w:t>
            </w:r>
            <w:bookmarkStart w:id="0" w:name="_GoBack"/>
            <w:bookmarkEnd w:id="0"/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32FC5A86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1629A671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56E2F5C5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829A1" w14:paraId="6B90DA18" w14:textId="77777777" w:rsidTr="007829A1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58910637" w14:textId="77777777" w:rsidR="007829A1" w:rsidRDefault="007829A1" w:rsidP="007829A1">
            <w:pPr>
              <w:pStyle w:val="HeadingRunIn"/>
              <w:keepNext w:val="0"/>
              <w:numPr>
                <w:ilvl w:val="0"/>
                <w:numId w:val="30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4EA8546E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Bath fans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Foam, caulk, or other air-tight seal installed around perimeter of bath fans. Fire-resistant caulk used for bath fans with a heat source. Gaps larger than 1” spanned with sheet metal.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2ABBE1BE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04D01171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3D39C03E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829A1" w14:paraId="4F5EC768" w14:textId="77777777" w:rsidTr="007829A1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2F0BC72D" w14:textId="77777777" w:rsidR="007829A1" w:rsidRDefault="007829A1" w:rsidP="007829A1">
            <w:pPr>
              <w:pStyle w:val="HeadingRunIn"/>
              <w:keepNext w:val="0"/>
              <w:numPr>
                <w:ilvl w:val="0"/>
                <w:numId w:val="31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71E4D7F2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 xml:space="preserve">Electrical fixtures and plumbing penetrations: 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Foam, caulk or other airtight seal installed around perimeter.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733D4D81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11D351F7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72FC2D32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829A1" w14:paraId="2DE211C7" w14:textId="77777777" w:rsidTr="007829A1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0214BE85" w14:textId="77777777" w:rsidR="007829A1" w:rsidRDefault="007829A1" w:rsidP="007829A1">
            <w:pPr>
              <w:pStyle w:val="HeadingRunIn"/>
              <w:keepNext w:val="0"/>
              <w:numPr>
                <w:ilvl w:val="0"/>
                <w:numId w:val="32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70DDB0B5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 xml:space="preserve">Other penetrations: 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Drywall-to-top-plate connections, wood-to-wood seams, penetrations through the top plate sealed with foam or caulk.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03D0F909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02EE7A42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11D4DAFF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829A1" w14:paraId="0E42FE0B" w14:textId="77777777" w:rsidTr="007829A1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54D0BF0E" w14:textId="77777777" w:rsidR="007829A1" w:rsidRDefault="007829A1" w:rsidP="007829A1">
            <w:pPr>
              <w:pStyle w:val="HeadingRunIn"/>
              <w:keepNext w:val="0"/>
              <w:numPr>
                <w:ilvl w:val="0"/>
                <w:numId w:val="33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673E6C07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Drop soffits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Rigid material installed and sealed with foam or caulk to close off drop soffits from the attic.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60C3309E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3B2D02B4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48CD7D0C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829A1" w14:paraId="7CADD098" w14:textId="77777777" w:rsidTr="007829A1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3B18A6D1" w14:textId="77777777" w:rsidR="007829A1" w:rsidRDefault="007829A1" w:rsidP="007829A1">
            <w:pPr>
              <w:pStyle w:val="HeadingRunIn"/>
              <w:keepNext w:val="0"/>
              <w:numPr>
                <w:ilvl w:val="0"/>
                <w:numId w:val="34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3BC469F5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Knee wall door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Weatherstripping</w:t>
            </w:r>
            <w:proofErr w:type="spellEnd"/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 xml:space="preserve"> between door jamb and attic access frame. Latch installed if necessary.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7921A129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1A3094D6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54CAA1CB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829A1" w14:paraId="159C1D26" w14:textId="77777777" w:rsidTr="007829A1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33284DFB" w14:textId="77777777" w:rsidR="007829A1" w:rsidRDefault="007829A1" w:rsidP="007829A1">
            <w:pPr>
              <w:pStyle w:val="HeadingRunIn"/>
              <w:keepNext w:val="0"/>
              <w:numPr>
                <w:ilvl w:val="0"/>
                <w:numId w:val="35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2C446C47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 xml:space="preserve">Floor joists under </w:t>
            </w:r>
            <w:proofErr w:type="spellStart"/>
            <w:r>
              <w:rPr>
                <w:rFonts w:ascii="Arial" w:hAnsi="Arial" w:cs="Arial"/>
                <w:w w:val="100"/>
                <w:sz w:val="20"/>
                <w:szCs w:val="20"/>
              </w:rPr>
              <w:t>kneewalls</w:t>
            </w:r>
            <w:proofErr w:type="spellEnd"/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Rigid material installed between floor joists. Perimeter of each joist space foamed or caulked.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57FAAE51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46FE410D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23127195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829A1" w14:paraId="20938CFE" w14:textId="77777777" w:rsidTr="007829A1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2117013D" w14:textId="77777777" w:rsidR="007829A1" w:rsidRDefault="007829A1" w:rsidP="007829A1">
            <w:pPr>
              <w:pStyle w:val="HeadingRunIn"/>
              <w:keepNext w:val="0"/>
              <w:numPr>
                <w:ilvl w:val="0"/>
                <w:numId w:val="36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0A97511D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Tops of balloon-framed walls: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 xml:space="preserve"> Foam, caulk, or other air-tight seal installed at the tops of balloon-framed walls and to open walls between split-level attic areas. Perimeter of each stud space foamed or caulked.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6A0F71BE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6D8B664E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17E0A7D6" w14:textId="77777777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829A1" w14:paraId="395A7A8F" w14:textId="77777777" w:rsidTr="007829A1">
        <w:trPr>
          <w:trHeight w:val="1325"/>
          <w:jc w:val="center"/>
        </w:trPr>
        <w:tc>
          <w:tcPr>
            <w:tcW w:w="10800" w:type="dxa"/>
            <w:gridSpan w:val="10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7ED7D6DB" w14:textId="30675BD0" w:rsidR="007829A1" w:rsidRDefault="007829A1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Notes:</w:t>
            </w:r>
          </w:p>
        </w:tc>
      </w:tr>
      <w:tr w:rsidR="00F60398" w:rsidRPr="00D44E9C" w14:paraId="25CFF93F" w14:textId="77777777" w:rsidTr="007829A1">
        <w:trPr>
          <w:jc w:val="center"/>
        </w:trPr>
        <w:tc>
          <w:tcPr>
            <w:tcW w:w="10800" w:type="dxa"/>
            <w:gridSpan w:val="10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0B8FC6F2" w14:textId="77777777" w:rsidR="00F60398" w:rsidRPr="00D44E9C" w:rsidRDefault="00F60398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44E9C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By signing below, I certify that the items marked as completed on this checklist were completed for this site.</w:t>
            </w:r>
          </w:p>
        </w:tc>
      </w:tr>
      <w:tr w:rsidR="00F60398" w:rsidRPr="00D44E9C" w14:paraId="29DDDC4A" w14:textId="77777777" w:rsidTr="007829A1">
        <w:trPr>
          <w:jc w:val="center"/>
        </w:trPr>
        <w:tc>
          <w:tcPr>
            <w:tcW w:w="8680" w:type="dxa"/>
            <w:gridSpan w:val="6"/>
            <w:tcBorders>
              <w:top w:val="single" w:sz="16" w:space="0" w:color="000000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3699BCBB" w14:textId="77777777" w:rsidR="00F60398" w:rsidRPr="00D44E9C" w:rsidRDefault="00F60398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44E9C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Installation Company Representative:</w:t>
            </w:r>
          </w:p>
        </w:tc>
        <w:tc>
          <w:tcPr>
            <w:tcW w:w="2120" w:type="dxa"/>
            <w:gridSpan w:val="4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42EA196A" w14:textId="77777777" w:rsidR="00F60398" w:rsidRPr="00D44E9C" w:rsidRDefault="00F60398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44E9C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Date:</w:t>
            </w:r>
          </w:p>
        </w:tc>
      </w:tr>
      <w:tr w:rsidR="00F60398" w:rsidRPr="00D44E9C" w14:paraId="0CF097F2" w14:textId="77777777" w:rsidTr="007829A1">
        <w:trPr>
          <w:jc w:val="center"/>
        </w:trPr>
        <w:tc>
          <w:tcPr>
            <w:tcW w:w="5780" w:type="dxa"/>
            <w:gridSpan w:val="3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3F58C21F" w14:textId="77777777" w:rsidR="00F60398" w:rsidRPr="00D44E9C" w:rsidRDefault="00F60398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44E9C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Contractor Name:</w:t>
            </w:r>
          </w:p>
        </w:tc>
        <w:tc>
          <w:tcPr>
            <w:tcW w:w="5020" w:type="dxa"/>
            <w:gridSpan w:val="7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43" w:type="dxa"/>
              <w:left w:w="120" w:type="dxa"/>
              <w:bottom w:w="43" w:type="dxa"/>
              <w:right w:w="120" w:type="dxa"/>
            </w:tcMar>
            <w:vAlign w:val="center"/>
          </w:tcPr>
          <w:p w14:paraId="4B1C04CA" w14:textId="77777777" w:rsidR="00F60398" w:rsidRPr="00D44E9C" w:rsidRDefault="00F60398" w:rsidP="007829A1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44E9C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Phone:</w:t>
            </w:r>
          </w:p>
        </w:tc>
      </w:tr>
    </w:tbl>
    <w:p w14:paraId="0501DB3C" w14:textId="77777777" w:rsidR="00F60398" w:rsidRPr="00D44E9C" w:rsidRDefault="00F60398" w:rsidP="00F60398">
      <w:pPr>
        <w:rPr>
          <w:rFonts w:ascii="Arial" w:hAnsi="Arial" w:cs="Arial"/>
        </w:rPr>
      </w:pPr>
    </w:p>
    <w:p w14:paraId="0A03EBA7" w14:textId="77777777" w:rsidR="00290099" w:rsidRPr="00F60398" w:rsidRDefault="00290099" w:rsidP="00F60398"/>
    <w:sectPr w:rsidR="00290099" w:rsidRPr="00F60398" w:rsidSect="00782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23B45" w14:textId="77777777" w:rsidR="00213DF1" w:rsidRDefault="00213DF1" w:rsidP="00A229AA">
      <w:r>
        <w:separator/>
      </w:r>
    </w:p>
  </w:endnote>
  <w:endnote w:type="continuationSeparator" w:id="0">
    <w:p w14:paraId="10B459FE" w14:textId="77777777" w:rsidR="00213DF1" w:rsidRDefault="00213DF1" w:rsidP="00A2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ion Pro">
    <w:charset w:val="00"/>
    <w:family w:val="auto"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97DFF" w14:textId="77777777" w:rsidR="00BF46F7" w:rsidRDefault="00BF46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44789" w14:textId="77777777" w:rsidR="00213DF1" w:rsidRPr="00A229AA" w:rsidRDefault="00213DF1" w:rsidP="00A229AA">
    <w:pPr>
      <w:widowControl w:val="0"/>
      <w:autoSpaceDE w:val="0"/>
      <w:autoSpaceDN w:val="0"/>
      <w:adjustRightInd w:val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Version 1.0 – Revision date: 7/1/14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12974" w14:textId="77777777" w:rsidR="00BF46F7" w:rsidRDefault="00BF46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41F83" w14:textId="77777777" w:rsidR="00213DF1" w:rsidRDefault="00213DF1" w:rsidP="00A229AA">
      <w:r>
        <w:separator/>
      </w:r>
    </w:p>
  </w:footnote>
  <w:footnote w:type="continuationSeparator" w:id="0">
    <w:p w14:paraId="2B88C4A2" w14:textId="77777777" w:rsidR="00213DF1" w:rsidRDefault="00213DF1" w:rsidP="00A22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A0BFB" w14:textId="77777777" w:rsidR="00BF46F7" w:rsidRDefault="00BF46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B1983" w14:textId="36C486D4" w:rsidR="00213DF1" w:rsidRDefault="00213DF1">
    <w:pPr>
      <w:widowControl w:val="0"/>
      <w:autoSpaceDE w:val="0"/>
      <w:autoSpaceDN w:val="0"/>
      <w:adjustRightInd w:val="0"/>
      <w:rPr>
        <w:rFonts w:ascii="Symbol" w:hAnsi="Symbol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07CF2" w14:textId="77777777" w:rsidR="00BF46F7" w:rsidRDefault="00BF46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30E5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1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2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5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7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8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0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2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5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7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8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5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6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7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8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0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2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AA"/>
    <w:rsid w:val="00166887"/>
    <w:rsid w:val="00213DF1"/>
    <w:rsid w:val="00290099"/>
    <w:rsid w:val="003B3FBC"/>
    <w:rsid w:val="007829A1"/>
    <w:rsid w:val="00A229AA"/>
    <w:rsid w:val="00BF46F7"/>
    <w:rsid w:val="00F6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24DE25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RunIn">
    <w:name w:val="HeadingRunIn"/>
    <w:next w:val="Normal"/>
    <w:rsid w:val="00A229AA"/>
    <w:pPr>
      <w:keepNext/>
      <w:autoSpaceDE w:val="0"/>
      <w:autoSpaceDN w:val="0"/>
      <w:adjustRightInd w:val="0"/>
      <w:spacing w:before="120" w:line="280" w:lineRule="atLeast"/>
    </w:pPr>
    <w:rPr>
      <w:rFonts w:ascii="Times New Roman" w:hAnsi="Times New Roman" w:cs="Times New Roman"/>
      <w:b/>
      <w:bCs/>
      <w:color w:val="000000"/>
      <w:w w:val="0"/>
    </w:rPr>
  </w:style>
  <w:style w:type="paragraph" w:customStyle="1" w:styleId="Body">
    <w:name w:val="Body"/>
    <w:uiPriority w:val="99"/>
    <w:rsid w:val="00A229AA"/>
    <w:pPr>
      <w:autoSpaceDE w:val="0"/>
      <w:autoSpaceDN w:val="0"/>
      <w:adjustRightInd w:val="0"/>
      <w:spacing w:line="280" w:lineRule="atLeast"/>
    </w:pPr>
    <w:rPr>
      <w:rFonts w:ascii="Times New Roman" w:hAnsi="Times New Roman" w:cs="Times New Roman"/>
      <w:color w:val="000000"/>
      <w:w w:val="0"/>
    </w:rPr>
  </w:style>
  <w:style w:type="paragraph" w:styleId="Header">
    <w:name w:val="header"/>
    <w:basedOn w:val="Normal"/>
    <w:link w:val="HeaderChar"/>
    <w:uiPriority w:val="99"/>
    <w:unhideWhenUsed/>
    <w:rsid w:val="00A229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9AA"/>
  </w:style>
  <w:style w:type="paragraph" w:styleId="Footer">
    <w:name w:val="footer"/>
    <w:basedOn w:val="Normal"/>
    <w:link w:val="FooterChar"/>
    <w:uiPriority w:val="99"/>
    <w:unhideWhenUsed/>
    <w:rsid w:val="00A229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RunIn">
    <w:name w:val="HeadingRunIn"/>
    <w:next w:val="Normal"/>
    <w:rsid w:val="00A229AA"/>
    <w:pPr>
      <w:keepNext/>
      <w:autoSpaceDE w:val="0"/>
      <w:autoSpaceDN w:val="0"/>
      <w:adjustRightInd w:val="0"/>
      <w:spacing w:before="120" w:line="280" w:lineRule="atLeast"/>
    </w:pPr>
    <w:rPr>
      <w:rFonts w:ascii="Times New Roman" w:hAnsi="Times New Roman" w:cs="Times New Roman"/>
      <w:b/>
      <w:bCs/>
      <w:color w:val="000000"/>
      <w:w w:val="0"/>
    </w:rPr>
  </w:style>
  <w:style w:type="paragraph" w:customStyle="1" w:styleId="Body">
    <w:name w:val="Body"/>
    <w:uiPriority w:val="99"/>
    <w:rsid w:val="00A229AA"/>
    <w:pPr>
      <w:autoSpaceDE w:val="0"/>
      <w:autoSpaceDN w:val="0"/>
      <w:adjustRightInd w:val="0"/>
      <w:spacing w:line="280" w:lineRule="atLeast"/>
    </w:pPr>
    <w:rPr>
      <w:rFonts w:ascii="Times New Roman" w:hAnsi="Times New Roman" w:cs="Times New Roman"/>
      <w:color w:val="000000"/>
      <w:w w:val="0"/>
    </w:rPr>
  </w:style>
  <w:style w:type="paragraph" w:styleId="Header">
    <w:name w:val="header"/>
    <w:basedOn w:val="Normal"/>
    <w:link w:val="HeaderChar"/>
    <w:uiPriority w:val="99"/>
    <w:unhideWhenUsed/>
    <w:rsid w:val="00A229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9AA"/>
  </w:style>
  <w:style w:type="paragraph" w:styleId="Footer">
    <w:name w:val="footer"/>
    <w:basedOn w:val="Normal"/>
    <w:link w:val="FooterChar"/>
    <w:uiPriority w:val="99"/>
    <w:unhideWhenUsed/>
    <w:rsid w:val="00A229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404842DB1C82EF43A906826C7ABE80A904002577F1FA3A91944FB06506E561E612D5" ma:contentTypeVersion="6" ma:contentTypeDescription="BPA Documents that do not have a specific content type defined." ma:contentTypeScope="" ma:versionID="0b05b3b6d55006cb46c6e7ec31625e2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e22c7409-3fd3-409a-a4a6-6ab0ea51d687" targetNamespace="http://schemas.microsoft.com/office/2006/metadata/properties" ma:root="true" ma:fieldsID="aeedefea269660b2b1559e3fd7a19302" ns1:_="" ns2:_="" ns3:_="">
    <xsd:import namespace="http://schemas.microsoft.com/sharepoint/v3"/>
    <xsd:import namespace="http://schemas.microsoft.com/sharepoint/v3/fields"/>
    <xsd:import namespace="e22c7409-3fd3-409a-a4a6-6ab0ea51d687"/>
    <xsd:element name="properties">
      <xsd:complexType>
        <xsd:sequence>
          <xsd:element name="documentManagement">
            <xsd:complexType>
              <xsd:all>
                <xsd:element ref="ns2:_Relation" minOccurs="0"/>
                <xsd:element ref="ns2:_Contributor" minOccurs="0"/>
                <xsd:element ref="ns2:_Coverage" minOccurs="0"/>
                <xsd:element ref="ns2:_Format" minOccurs="0"/>
                <xsd:element ref="ns1:Language" minOccurs="0"/>
                <xsd:element ref="ns2:_Publisher" minOccurs="0"/>
                <xsd:element ref="ns2:_Identifier" minOccurs="0"/>
                <xsd:element ref="ns2:_ResourceType"/>
                <xsd:element ref="ns2:_Source" minOccurs="0"/>
                <xsd:element ref="ns2:_DCDateCreated" minOccurs="0"/>
                <xsd:element ref="ns2:_DCDateModified" minOccurs="0"/>
                <xsd:element ref="ns3:pb95b497b12c48a38c5a5dfead4fe67f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lation" ma:index="8" nillable="true" ma:displayName="Relation" ma:description="References to related resources" ma:internalName="_Relation">
      <xsd:simpleType>
        <xsd:restriction base="dms:Note">
          <xsd:maxLength value="255"/>
        </xsd:restriction>
      </xsd:simpleType>
    </xsd:element>
    <xsd:element name="_Contributor" ma:index="9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Coverage" ma:index="10" nillable="true" ma:displayName="Coverage" ma:description="The extent or scope" ma:internalName="_Coverage">
      <xsd:simpleType>
        <xsd:restriction base="dms:Text"/>
      </xsd:simpleType>
    </xsd:element>
    <xsd:element name="_Format" ma:index="13" nillable="true" ma:displayName="Format" ma:description="Media-type, file format or dimensions" ma:internalName="_Format">
      <xsd:simpleType>
        <xsd:restriction base="dms:Text"/>
      </xsd:simpleType>
    </xsd:element>
    <xsd:element name="_Publisher" ma:index="15" nillable="true" ma:displayName="Publisher" ma:description="The person, organization or service that published this resource" ma:internalName="_Publisher">
      <xsd:simpleType>
        <xsd:restriction base="dms:Text"/>
      </xsd:simpleType>
    </xsd:element>
    <xsd:element name="_Identifier" ma:index="16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ResourceType" ma:index="17" ma:displayName="Resource Type" ma:description="A set of categories, functions, genres or aggregation levels" ma:internalName="_ResourceType" ma:readOnly="false">
      <xsd:simpleType>
        <xsd:restriction base="dms:Text"/>
      </xsd:simpleType>
    </xsd:element>
    <xsd:element name="_Source" ma:index="18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  <xsd:element name="_DCDateCreated" ma:index="1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0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c7409-3fd3-409a-a4a6-6ab0ea51d687" elementFormDefault="qualified">
    <xsd:import namespace="http://schemas.microsoft.com/office/2006/documentManagement/types"/>
    <xsd:import namespace="http://schemas.microsoft.com/office/infopath/2007/PartnerControls"/>
    <xsd:element name="pb95b497b12c48a38c5a5dfead4fe67f" ma:index="21" ma:taxonomy="true" ma:internalName="pb95b497b12c48a38c5a5dfead4fe67f" ma:taxonomyFieldName="Tags" ma:displayName="Tags" ma:readOnly="false" ma:default="" ma:fieldId="{9b95b497-b12c-48a3-8c5a-5dfead4fe67f}" ma:taxonomyMulti="true" ma:sspId="d95bfaeb-d21c-407f-a59f-76a7cca530c2" ma:termSetId="7721fb43-69da-41c8-8f20-dab2ccd6cc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577f0b94-768c-4362-8994-1f14373be3ed}" ma:internalName="TaxCatchAll" ma:showField="CatchAllData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577f0b94-768c-4362-8994-1f14373be3ed}" ma:internalName="TaxCatchAllLabel" ma:readOnly="true" ma:showField="CatchAllDataLabel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_DCDateModified xmlns="http://schemas.microsoft.com/sharepoint/v3/fields" xsi:nil="true"/>
    <_Publisher xmlns="http://schemas.microsoft.com/sharepoint/v3/fields" xsi:nil="true"/>
    <_Relation xmlns="http://schemas.microsoft.com/sharepoint/v3/fields" xsi:nil="true"/>
    <_Contributor xmlns="http://schemas.microsoft.com/sharepoint/v3/fields" xsi:nil="true"/>
    <_Format xmlns="http://schemas.microsoft.com/sharepoint/v3/fields" xsi:nil="true"/>
    <pb95b497b12c48a38c5a5dfead4fe67f xmlns="e22c7409-3fd3-409a-a4a6-6ab0ea51d6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Efficiency</TermName>
          <TermId xmlns="http://schemas.microsoft.com/office/infopath/2007/PartnerControls">7d88f299-fa2d-4d2a-99d9-9b08652f27c4</TermId>
        </TermInfo>
      </Terms>
    </pb95b497b12c48a38c5a5dfead4fe67f>
    <_Coverage xmlns="http://schemas.microsoft.com/sharepoint/v3/fields" xsi:nil="true"/>
    <_Identifier xmlns="http://schemas.microsoft.com/sharepoint/v3/fields" xsi:nil="true"/>
    <_ResourceType xmlns="http://schemas.microsoft.com/sharepoint/v3/fields">Wx Checklist</_ResourceType>
    <TaxCatchAll xmlns="e22c7409-3fd3-409a-a4a6-6ab0ea51d687">
      <Value>16</Value>
    </TaxCatchAll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8AB6E79-6DA5-46A9-AE0F-F2227AAE2A33}"/>
</file>

<file path=customXml/itemProps2.xml><?xml version="1.0" encoding="utf-8"?>
<ds:datastoreItem xmlns:ds="http://schemas.openxmlformats.org/officeDocument/2006/customXml" ds:itemID="{9086DD77-C13A-47BA-8DE6-5CF6D8762A19}"/>
</file>

<file path=customXml/itemProps3.xml><?xml version="1.0" encoding="utf-8"?>
<ds:datastoreItem xmlns:ds="http://schemas.openxmlformats.org/officeDocument/2006/customXml" ds:itemID="{235DCECA-BF77-4EA0-8BE8-2687E1F0C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 Tenter</dc:creator>
  <cp:keywords/>
  <dc:description/>
  <cp:lastModifiedBy>BPA User</cp:lastModifiedBy>
  <cp:revision>6</cp:revision>
  <dcterms:created xsi:type="dcterms:W3CDTF">2014-07-01T18:38:00Z</dcterms:created>
  <dcterms:modified xsi:type="dcterms:W3CDTF">2014-07-24T22:09:00Z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0x010100404842DB1C82EF43A906826C7ABE80A904002577F1FA3A91944FB06506E561E612D5</vt:lpwstr>
  </property>
  <property fmtid="{D5CDD505-2E9C-101B-9397-08002B2CF9AE}" pid="3" name="Tags">
    <vt:lpwstr>16;#Energy Efficiency|7d88f299-fa2d-4d2a-99d9-9b08652f27c4</vt:lpwstr>
  </property>
  <property fmtid="{D5CDD505-2E9C-101B-9397-08002B2CF9AE}" pid="4" name="Order">
    <vt:r8>11200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PublishingContact">
    <vt:lpwstr/>
  </property>
  <property fmtid="{D5CDD505-2E9C-101B-9397-08002B2CF9AE}" pid="13" name="PublishingRollupImage">
    <vt:lpwstr/>
  </property>
  <property fmtid="{D5CDD505-2E9C-101B-9397-08002B2CF9AE}" pid="14" name="PublishingContactEmail">
    <vt:lpwstr/>
  </property>
  <property fmtid="{D5CDD505-2E9C-101B-9397-08002B2CF9AE}" pid="16" name="PublishingVariationRelationshipLinkFieldID">
    <vt:lpwstr/>
  </property>
  <property fmtid="{D5CDD505-2E9C-101B-9397-08002B2CF9AE}" pid="17" name="PublishingContactName">
    <vt:lpwstr/>
  </property>
  <property fmtid="{D5CDD505-2E9C-101B-9397-08002B2CF9AE}" pid="18" name="Comments">
    <vt:lpwstr/>
  </property>
  <property fmtid="{D5CDD505-2E9C-101B-9397-08002B2CF9AE}" pid="19" name="PublishingPageLayout">
    <vt:lpwstr/>
  </property>
  <property fmtid="{D5CDD505-2E9C-101B-9397-08002B2CF9AE}" pid="20" name="Audience">
    <vt:lpwstr/>
  </property>
  <property fmtid="{D5CDD505-2E9C-101B-9397-08002B2CF9AE}" pid="22" name="PublishingContactPicture">
    <vt:lpwstr/>
  </property>
  <property fmtid="{D5CDD505-2E9C-101B-9397-08002B2CF9AE}" pid="23" name="PublishingVariationGroupID">
    <vt:lpwstr/>
  </property>
</Properties>
</file>