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964B7" w14:textId="77777777" w:rsidR="006630DF" w:rsidRPr="006630DF" w:rsidRDefault="006630DF" w:rsidP="006630DF">
      <w:pPr>
        <w:spacing w:before="100" w:beforeAutospacing="1" w:after="100" w:afterAutospacing="1"/>
        <w:rPr>
          <w:rFonts w:ascii="Arial" w:eastAsia="Times New Roman" w:hAnsi="Arial" w:cs="Arial"/>
          <w:b/>
        </w:rPr>
      </w:pPr>
      <w:bookmarkStart w:id="0" w:name="_GoBack"/>
      <w:bookmarkEnd w:id="0"/>
      <w:r>
        <w:rPr>
          <w:rFonts w:ascii="Arial" w:eastAsia="Times New Roman" w:hAnsi="Arial" w:cs="Arial"/>
          <w:b/>
        </w:rPr>
        <w:t>May 11, 2021, Quarterly Business Review follow</w:t>
      </w:r>
      <w:r w:rsidR="00B3598E">
        <w:rPr>
          <w:rFonts w:ascii="Arial" w:eastAsia="Times New Roman" w:hAnsi="Arial" w:cs="Arial"/>
          <w:b/>
        </w:rPr>
        <w:t>-</w:t>
      </w:r>
      <w:r>
        <w:rPr>
          <w:rFonts w:ascii="Arial" w:eastAsia="Times New Roman" w:hAnsi="Arial" w:cs="Arial"/>
          <w:b/>
        </w:rPr>
        <w:t>up questions</w:t>
      </w:r>
    </w:p>
    <w:p w14:paraId="6A49A029" w14:textId="77777777" w:rsidR="006630DF" w:rsidRPr="006630DF" w:rsidRDefault="006630DF" w:rsidP="006630DF">
      <w:pPr>
        <w:spacing w:before="100" w:beforeAutospacing="1" w:after="100" w:afterAutospacing="1"/>
        <w:rPr>
          <w:rFonts w:ascii="Arial" w:eastAsia="Times New Roman" w:hAnsi="Arial" w:cs="Arial"/>
        </w:rPr>
      </w:pPr>
    </w:p>
    <w:p w14:paraId="25924360" w14:textId="77777777" w:rsidR="006922B4" w:rsidRPr="006630DF" w:rsidRDefault="006630DF" w:rsidP="006630DF">
      <w:pPr>
        <w:spacing w:before="100" w:beforeAutospacing="1" w:after="100" w:afterAutospacing="1"/>
        <w:ind w:right="144"/>
        <w:rPr>
          <w:rFonts w:ascii="Arial" w:eastAsia="Times New Roman" w:hAnsi="Arial" w:cs="Arial"/>
          <w:b/>
        </w:rPr>
      </w:pPr>
      <w:r>
        <w:rPr>
          <w:rFonts w:ascii="Arial" w:hAnsi="Arial" w:cs="Arial"/>
          <w:b/>
        </w:rPr>
        <w:t xml:space="preserve">Q: </w:t>
      </w:r>
      <w:r w:rsidRPr="006630DF">
        <w:rPr>
          <w:rFonts w:ascii="Arial" w:hAnsi="Arial" w:cs="Arial"/>
          <w:b/>
        </w:rPr>
        <w:t>Jason Zyskowski, Snohomish PUD-</w:t>
      </w:r>
      <w:r>
        <w:rPr>
          <w:rFonts w:ascii="Arial" w:hAnsi="Arial" w:cs="Arial"/>
          <w:b/>
        </w:rPr>
        <w:t xml:space="preserve"> </w:t>
      </w:r>
      <w:r w:rsidR="006922B4" w:rsidRPr="006630DF">
        <w:rPr>
          <w:rFonts w:ascii="Arial" w:eastAsia="Times New Roman" w:hAnsi="Arial" w:cs="Arial"/>
        </w:rPr>
        <w:t>I am curious about what actions you are taking to help address the issues around hearing loss incidents?  Hearing loss has had a significant impact on our reportable incidents as well and we have taken steps to improve our hearing loss prevention program through additional education and offering custom fit earplugs, but it is an area that we are always looking to improve and learn from others.</w:t>
      </w:r>
    </w:p>
    <w:p w14:paraId="772F84BA" w14:textId="77777777" w:rsidR="006922B4" w:rsidRPr="006630DF" w:rsidRDefault="006922B4" w:rsidP="000E74D0">
      <w:pPr>
        <w:rPr>
          <w:rFonts w:ascii="Arial" w:hAnsi="Arial" w:cs="Arial"/>
          <w:color w:val="1F497D"/>
        </w:rPr>
      </w:pPr>
    </w:p>
    <w:p w14:paraId="7503BF04" w14:textId="77777777" w:rsidR="000E74D0" w:rsidRPr="006630DF" w:rsidRDefault="006630DF" w:rsidP="000E74D0">
      <w:pPr>
        <w:rPr>
          <w:rFonts w:ascii="Arial" w:hAnsi="Arial" w:cs="Arial"/>
          <w:color w:val="1F497D"/>
        </w:rPr>
      </w:pPr>
      <w:r>
        <w:rPr>
          <w:rFonts w:ascii="Arial" w:hAnsi="Arial" w:cs="Arial"/>
          <w:b/>
          <w:color w:val="1F497D"/>
        </w:rPr>
        <w:t>A</w:t>
      </w:r>
      <w:r w:rsidR="006922B4" w:rsidRPr="006630DF">
        <w:rPr>
          <w:rFonts w:ascii="Arial" w:hAnsi="Arial" w:cs="Arial"/>
          <w:color w:val="1F497D"/>
        </w:rPr>
        <w:t xml:space="preserve">: </w:t>
      </w:r>
      <w:r w:rsidR="000E74D0" w:rsidRPr="006630DF">
        <w:rPr>
          <w:rFonts w:ascii="Arial" w:hAnsi="Arial" w:cs="Arial"/>
          <w:color w:val="1F497D"/>
        </w:rPr>
        <w:t>We’ve updated our Hearing Conservation Program to include the Standard Threshold Shift Follow-up which focuses on the noise hazard.</w:t>
      </w:r>
    </w:p>
    <w:p w14:paraId="2BC3E894" w14:textId="77777777" w:rsidR="000E74D0" w:rsidRPr="006630DF" w:rsidRDefault="000E74D0" w:rsidP="000E74D0">
      <w:pPr>
        <w:pStyle w:val="ListParagraph"/>
        <w:numPr>
          <w:ilvl w:val="0"/>
          <w:numId w:val="1"/>
        </w:numPr>
        <w:rPr>
          <w:rFonts w:ascii="Arial" w:hAnsi="Arial" w:cs="Arial"/>
          <w:color w:val="1F497D"/>
        </w:rPr>
      </w:pPr>
      <w:r w:rsidRPr="006630DF">
        <w:rPr>
          <w:rFonts w:ascii="Arial" w:hAnsi="Arial" w:cs="Arial"/>
          <w:color w:val="1F497D"/>
        </w:rPr>
        <w:t>When is the exposure to the noise hazard;</w:t>
      </w:r>
    </w:p>
    <w:p w14:paraId="15BE2D71" w14:textId="77777777" w:rsidR="000E74D0" w:rsidRPr="006630DF" w:rsidRDefault="000E74D0" w:rsidP="000E74D0">
      <w:pPr>
        <w:pStyle w:val="ListParagraph"/>
        <w:numPr>
          <w:ilvl w:val="0"/>
          <w:numId w:val="1"/>
        </w:numPr>
        <w:rPr>
          <w:rFonts w:ascii="Arial" w:hAnsi="Arial" w:cs="Arial"/>
          <w:color w:val="1F497D"/>
        </w:rPr>
      </w:pPr>
      <w:r w:rsidRPr="006630DF">
        <w:rPr>
          <w:rFonts w:ascii="Arial" w:hAnsi="Arial" w:cs="Arial"/>
          <w:color w:val="1F497D"/>
        </w:rPr>
        <w:t>Duration of exposure;</w:t>
      </w:r>
    </w:p>
    <w:p w14:paraId="3BE1F9F4" w14:textId="77777777" w:rsidR="000E74D0" w:rsidRPr="006630DF" w:rsidRDefault="000E74D0" w:rsidP="000E74D0">
      <w:pPr>
        <w:pStyle w:val="ListParagraph"/>
        <w:numPr>
          <w:ilvl w:val="0"/>
          <w:numId w:val="1"/>
        </w:numPr>
        <w:rPr>
          <w:rFonts w:ascii="Arial" w:hAnsi="Arial" w:cs="Arial"/>
          <w:color w:val="1F497D"/>
        </w:rPr>
      </w:pPr>
      <w:r w:rsidRPr="006630DF">
        <w:rPr>
          <w:rFonts w:ascii="Arial" w:hAnsi="Arial" w:cs="Arial"/>
          <w:color w:val="1F497D"/>
        </w:rPr>
        <w:t>Tasks performed during exposure;</w:t>
      </w:r>
    </w:p>
    <w:p w14:paraId="673EDE6E" w14:textId="77777777" w:rsidR="000E74D0" w:rsidRPr="006630DF" w:rsidRDefault="000E74D0" w:rsidP="000E74D0">
      <w:pPr>
        <w:pStyle w:val="ListParagraph"/>
        <w:numPr>
          <w:ilvl w:val="0"/>
          <w:numId w:val="1"/>
        </w:numPr>
        <w:rPr>
          <w:rFonts w:ascii="Arial" w:hAnsi="Arial" w:cs="Arial"/>
          <w:color w:val="1F497D"/>
        </w:rPr>
      </w:pPr>
      <w:r w:rsidRPr="006630DF">
        <w:rPr>
          <w:rFonts w:ascii="Arial" w:hAnsi="Arial" w:cs="Arial"/>
          <w:color w:val="1F497D"/>
        </w:rPr>
        <w:t>Engineering controls applied to eliminate the noise hazard, are the controls working?</w:t>
      </w:r>
    </w:p>
    <w:p w14:paraId="71E8052A" w14:textId="77777777" w:rsidR="000E74D0" w:rsidRPr="006630DF" w:rsidRDefault="000E74D0" w:rsidP="000E74D0">
      <w:pPr>
        <w:pStyle w:val="ListParagraph"/>
        <w:numPr>
          <w:ilvl w:val="0"/>
          <w:numId w:val="1"/>
        </w:numPr>
        <w:rPr>
          <w:rFonts w:ascii="Arial" w:hAnsi="Arial" w:cs="Arial"/>
          <w:color w:val="1F497D"/>
        </w:rPr>
      </w:pPr>
      <w:r w:rsidRPr="006630DF">
        <w:rPr>
          <w:rFonts w:ascii="Arial" w:hAnsi="Arial" w:cs="Arial"/>
          <w:color w:val="1F497D"/>
        </w:rPr>
        <w:t>PPE, is it adequate for the noise hazard.</w:t>
      </w:r>
    </w:p>
    <w:p w14:paraId="6D1B08FA" w14:textId="77777777" w:rsidR="000E74D0" w:rsidRPr="006630DF" w:rsidRDefault="000E74D0" w:rsidP="000E74D0">
      <w:pPr>
        <w:rPr>
          <w:rFonts w:ascii="Arial" w:hAnsi="Arial" w:cs="Arial"/>
          <w:color w:val="1F497D"/>
        </w:rPr>
      </w:pPr>
    </w:p>
    <w:p w14:paraId="41344E3D" w14:textId="77777777" w:rsidR="000E74D0" w:rsidRPr="006630DF" w:rsidRDefault="000E74D0" w:rsidP="000E74D0">
      <w:pPr>
        <w:rPr>
          <w:rFonts w:ascii="Arial" w:hAnsi="Arial" w:cs="Arial"/>
          <w:color w:val="1F497D"/>
        </w:rPr>
      </w:pPr>
      <w:r w:rsidRPr="006630DF">
        <w:rPr>
          <w:rFonts w:ascii="Arial" w:hAnsi="Arial" w:cs="Arial"/>
          <w:color w:val="1F497D"/>
        </w:rPr>
        <w:t>We’ve also updated our Industrial Hygiene Program and developed an Industrial Hygiene Baseline Program that will focus not just on hearing but all hazards employees are exposed to while performing their work.  The IH Baseline Program will document, record, and characterize;</w:t>
      </w:r>
    </w:p>
    <w:p w14:paraId="0EAA57E6" w14:textId="77777777" w:rsidR="000E74D0" w:rsidRPr="006630DF" w:rsidRDefault="000E74D0" w:rsidP="000E74D0">
      <w:pPr>
        <w:pStyle w:val="ListParagraph"/>
        <w:numPr>
          <w:ilvl w:val="1"/>
          <w:numId w:val="2"/>
        </w:numPr>
        <w:rPr>
          <w:rFonts w:ascii="Arial" w:hAnsi="Arial" w:cs="Arial"/>
          <w:color w:val="1F497D"/>
        </w:rPr>
      </w:pPr>
      <w:r w:rsidRPr="006630DF">
        <w:rPr>
          <w:rFonts w:ascii="Arial" w:hAnsi="Arial" w:cs="Arial"/>
          <w:color w:val="1F497D"/>
        </w:rPr>
        <w:t>Workplace</w:t>
      </w:r>
    </w:p>
    <w:p w14:paraId="37FACEF3"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Operation description and work processes</w:t>
      </w:r>
    </w:p>
    <w:p w14:paraId="2BE20331"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Frequency and duration of each work process</w:t>
      </w:r>
    </w:p>
    <w:p w14:paraId="18A12A26"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Tools and equipment used</w:t>
      </w:r>
    </w:p>
    <w:p w14:paraId="79DAA1E2" w14:textId="77777777" w:rsidR="000E74D0" w:rsidRPr="006630DF" w:rsidRDefault="000E74D0" w:rsidP="000E74D0">
      <w:pPr>
        <w:pStyle w:val="ListParagraph"/>
        <w:numPr>
          <w:ilvl w:val="1"/>
          <w:numId w:val="2"/>
        </w:numPr>
        <w:rPr>
          <w:rFonts w:ascii="Arial" w:hAnsi="Arial" w:cs="Arial"/>
          <w:color w:val="1F497D"/>
        </w:rPr>
      </w:pPr>
      <w:r w:rsidRPr="006630DF">
        <w:rPr>
          <w:rFonts w:ascii="Arial" w:hAnsi="Arial" w:cs="Arial"/>
          <w:color w:val="1F497D"/>
        </w:rPr>
        <w:t>Workforce</w:t>
      </w:r>
    </w:p>
    <w:p w14:paraId="53815024"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Job title description, Number of workers, Schedule/Work shifts</w:t>
      </w:r>
    </w:p>
    <w:p w14:paraId="22EC446E" w14:textId="77777777" w:rsidR="000E74D0" w:rsidRPr="006630DF" w:rsidRDefault="000E74D0" w:rsidP="000E74D0">
      <w:pPr>
        <w:pStyle w:val="ListParagraph"/>
        <w:numPr>
          <w:ilvl w:val="1"/>
          <w:numId w:val="2"/>
        </w:numPr>
        <w:rPr>
          <w:rFonts w:ascii="Arial" w:hAnsi="Arial" w:cs="Arial"/>
          <w:color w:val="1F497D"/>
        </w:rPr>
      </w:pPr>
      <w:r w:rsidRPr="006630DF">
        <w:rPr>
          <w:rFonts w:ascii="Arial" w:hAnsi="Arial" w:cs="Arial"/>
          <w:color w:val="1F497D"/>
        </w:rPr>
        <w:t>Agents</w:t>
      </w:r>
    </w:p>
    <w:p w14:paraId="5D09F126"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Occupational health hazard associated with the work process (chemical, physical, biological)</w:t>
      </w:r>
    </w:p>
    <w:p w14:paraId="617519B1" w14:textId="77777777" w:rsidR="000E74D0" w:rsidRPr="006630DF" w:rsidRDefault="000E74D0" w:rsidP="000E74D0">
      <w:pPr>
        <w:pStyle w:val="ListParagraph"/>
        <w:numPr>
          <w:ilvl w:val="1"/>
          <w:numId w:val="2"/>
        </w:numPr>
        <w:rPr>
          <w:rFonts w:ascii="Arial" w:hAnsi="Arial" w:cs="Arial"/>
          <w:color w:val="1F497D"/>
        </w:rPr>
      </w:pPr>
      <w:r w:rsidRPr="006630DF">
        <w:rPr>
          <w:rFonts w:ascii="Arial" w:hAnsi="Arial" w:cs="Arial"/>
          <w:color w:val="1F497D"/>
        </w:rPr>
        <w:t>Existing controls</w:t>
      </w:r>
    </w:p>
    <w:p w14:paraId="646781CD"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Engineering</w:t>
      </w:r>
    </w:p>
    <w:p w14:paraId="71EB81E4"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Administrative/Work practices</w:t>
      </w:r>
    </w:p>
    <w:p w14:paraId="72E301A9"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PPE</w:t>
      </w:r>
    </w:p>
    <w:p w14:paraId="09C397B9" w14:textId="77777777" w:rsidR="000E74D0" w:rsidRPr="006630DF" w:rsidRDefault="000E74D0" w:rsidP="000E74D0">
      <w:pPr>
        <w:pStyle w:val="ListParagraph"/>
        <w:numPr>
          <w:ilvl w:val="1"/>
          <w:numId w:val="2"/>
        </w:numPr>
        <w:rPr>
          <w:rFonts w:ascii="Arial" w:hAnsi="Arial" w:cs="Arial"/>
          <w:color w:val="1F497D"/>
        </w:rPr>
      </w:pPr>
      <w:r w:rsidRPr="006630DF">
        <w:rPr>
          <w:rFonts w:ascii="Arial" w:hAnsi="Arial" w:cs="Arial"/>
          <w:color w:val="1F497D"/>
        </w:rPr>
        <w:t>Past assessments/results</w:t>
      </w:r>
    </w:p>
    <w:p w14:paraId="2FA05A44"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 xml:space="preserve">Corrective Actions </w:t>
      </w:r>
    </w:p>
    <w:p w14:paraId="35B3B62D" w14:textId="77777777" w:rsidR="000E74D0" w:rsidRPr="006630DF" w:rsidRDefault="000E74D0" w:rsidP="000E74D0">
      <w:pPr>
        <w:pStyle w:val="ListParagraph"/>
        <w:numPr>
          <w:ilvl w:val="1"/>
          <w:numId w:val="2"/>
        </w:numPr>
        <w:rPr>
          <w:rFonts w:ascii="Arial" w:hAnsi="Arial" w:cs="Arial"/>
          <w:color w:val="1F497D"/>
        </w:rPr>
      </w:pPr>
      <w:r w:rsidRPr="006630DF">
        <w:rPr>
          <w:rFonts w:ascii="Arial" w:hAnsi="Arial" w:cs="Arial"/>
          <w:color w:val="1F497D"/>
        </w:rPr>
        <w:t>Historical exposure data</w:t>
      </w:r>
    </w:p>
    <w:p w14:paraId="4A609D29" w14:textId="77777777" w:rsidR="000E74D0" w:rsidRPr="006630DF" w:rsidRDefault="000E74D0" w:rsidP="000E74D0">
      <w:pPr>
        <w:pStyle w:val="ListParagraph"/>
        <w:numPr>
          <w:ilvl w:val="2"/>
          <w:numId w:val="2"/>
        </w:numPr>
        <w:rPr>
          <w:rFonts w:ascii="Arial" w:hAnsi="Arial" w:cs="Arial"/>
          <w:color w:val="1F497D"/>
        </w:rPr>
      </w:pPr>
      <w:r w:rsidRPr="006630DF">
        <w:rPr>
          <w:rFonts w:ascii="Arial" w:hAnsi="Arial" w:cs="Arial"/>
          <w:color w:val="1F497D"/>
        </w:rPr>
        <w:t>Action Level or OEL</w:t>
      </w:r>
    </w:p>
    <w:p w14:paraId="777A0C4D" w14:textId="77777777" w:rsidR="000E74D0" w:rsidRPr="006630DF" w:rsidRDefault="000E74D0" w:rsidP="000E74D0">
      <w:pPr>
        <w:pStyle w:val="ListParagraph"/>
        <w:numPr>
          <w:ilvl w:val="1"/>
          <w:numId w:val="2"/>
        </w:numPr>
        <w:rPr>
          <w:rFonts w:ascii="Arial" w:hAnsi="Arial" w:cs="Arial"/>
          <w:color w:val="1F497D"/>
        </w:rPr>
      </w:pPr>
      <w:r w:rsidRPr="006630DF">
        <w:rPr>
          <w:rFonts w:ascii="Arial" w:hAnsi="Arial" w:cs="Arial"/>
          <w:color w:val="1F497D"/>
        </w:rPr>
        <w:t>Environmental emissions data</w:t>
      </w:r>
    </w:p>
    <w:p w14:paraId="2036E115" w14:textId="77777777" w:rsidR="000E74D0" w:rsidRPr="006630DF" w:rsidRDefault="000E74D0" w:rsidP="000E74D0">
      <w:pPr>
        <w:pStyle w:val="ListParagraph"/>
        <w:numPr>
          <w:ilvl w:val="1"/>
          <w:numId w:val="2"/>
        </w:numPr>
        <w:rPr>
          <w:rFonts w:ascii="Arial" w:hAnsi="Arial" w:cs="Arial"/>
          <w:color w:val="1F497D"/>
        </w:rPr>
      </w:pPr>
      <w:r w:rsidRPr="006630DF">
        <w:rPr>
          <w:rFonts w:ascii="Arial" w:hAnsi="Arial" w:cs="Arial"/>
          <w:color w:val="1F497D"/>
        </w:rPr>
        <w:t>Past biological monitoring data</w:t>
      </w:r>
    </w:p>
    <w:p w14:paraId="7465A6E3" w14:textId="77777777" w:rsidR="000E74D0" w:rsidRPr="006630DF" w:rsidRDefault="000E74D0" w:rsidP="000E74D0">
      <w:pPr>
        <w:ind w:left="1080"/>
        <w:rPr>
          <w:rFonts w:ascii="Arial" w:hAnsi="Arial" w:cs="Arial"/>
          <w:color w:val="1F497D"/>
        </w:rPr>
      </w:pPr>
    </w:p>
    <w:p w14:paraId="7AC03E82" w14:textId="77777777" w:rsidR="000E74D0" w:rsidRPr="006630DF" w:rsidRDefault="000E74D0" w:rsidP="000E74D0">
      <w:pPr>
        <w:rPr>
          <w:rFonts w:ascii="Arial" w:hAnsi="Arial" w:cs="Arial"/>
          <w:color w:val="1F497D"/>
        </w:rPr>
      </w:pPr>
      <w:r w:rsidRPr="006630DF">
        <w:rPr>
          <w:rFonts w:ascii="Arial" w:hAnsi="Arial" w:cs="Arial"/>
          <w:color w:val="1F497D"/>
        </w:rPr>
        <w:lastRenderedPageBreak/>
        <w:t xml:space="preserve">All of these </w:t>
      </w:r>
      <w:r w:rsidR="004F06B9">
        <w:rPr>
          <w:rFonts w:ascii="Arial" w:hAnsi="Arial" w:cs="Arial"/>
          <w:color w:val="1F497D"/>
        </w:rPr>
        <w:t xml:space="preserve">changes help us not to focus </w:t>
      </w:r>
      <w:r w:rsidRPr="006630DF">
        <w:rPr>
          <w:rFonts w:ascii="Arial" w:hAnsi="Arial" w:cs="Arial"/>
          <w:color w:val="1F497D"/>
        </w:rPr>
        <w:t>just</w:t>
      </w:r>
      <w:r w:rsidR="004F06B9">
        <w:rPr>
          <w:rFonts w:ascii="Arial" w:hAnsi="Arial" w:cs="Arial"/>
          <w:color w:val="1F497D"/>
        </w:rPr>
        <w:t xml:space="preserve"> on</w:t>
      </w:r>
      <w:r w:rsidRPr="006630DF">
        <w:rPr>
          <w:rFonts w:ascii="Arial" w:hAnsi="Arial" w:cs="Arial"/>
          <w:color w:val="1F497D"/>
        </w:rPr>
        <w:t xml:space="preserve"> the outcomes (hearing loss) but on what is generating the haz</w:t>
      </w:r>
      <w:r w:rsidR="00887E95">
        <w:rPr>
          <w:rFonts w:ascii="Arial" w:hAnsi="Arial" w:cs="Arial"/>
          <w:color w:val="1F497D"/>
        </w:rPr>
        <w:t xml:space="preserve">ardous noise levels and how </w:t>
      </w:r>
      <w:r w:rsidRPr="006630DF">
        <w:rPr>
          <w:rFonts w:ascii="Arial" w:hAnsi="Arial" w:cs="Arial"/>
          <w:color w:val="1F497D"/>
        </w:rPr>
        <w:t>we</w:t>
      </w:r>
      <w:r w:rsidR="00887E95">
        <w:rPr>
          <w:rFonts w:ascii="Arial" w:hAnsi="Arial" w:cs="Arial"/>
          <w:color w:val="1F497D"/>
        </w:rPr>
        <w:t xml:space="preserve"> can</w:t>
      </w:r>
      <w:r w:rsidRPr="006630DF">
        <w:rPr>
          <w:rFonts w:ascii="Arial" w:hAnsi="Arial" w:cs="Arial"/>
          <w:color w:val="1F497D"/>
        </w:rPr>
        <w:t xml:space="preserve"> eliminate </w:t>
      </w:r>
      <w:r w:rsidR="004F06B9">
        <w:rPr>
          <w:rFonts w:ascii="Arial" w:hAnsi="Arial" w:cs="Arial"/>
          <w:color w:val="1F497D"/>
        </w:rPr>
        <w:t xml:space="preserve">it </w:t>
      </w:r>
      <w:r w:rsidRPr="006630DF">
        <w:rPr>
          <w:rFonts w:ascii="Arial" w:hAnsi="Arial" w:cs="Arial"/>
          <w:color w:val="1F497D"/>
        </w:rPr>
        <w:t>or reduce the hazard.</w:t>
      </w:r>
    </w:p>
    <w:p w14:paraId="3C2AFEBB" w14:textId="77777777" w:rsidR="007F30BE" w:rsidRPr="006630DF" w:rsidRDefault="00A6234C">
      <w:pPr>
        <w:rPr>
          <w:rFonts w:ascii="Arial" w:hAnsi="Arial" w:cs="Arial"/>
        </w:rPr>
      </w:pPr>
    </w:p>
    <w:p w14:paraId="587B2F5D" w14:textId="77777777" w:rsidR="006922B4" w:rsidRPr="00786CAD" w:rsidRDefault="00786CAD" w:rsidP="00786CAD">
      <w:pPr>
        <w:spacing w:before="100" w:beforeAutospacing="1" w:after="100" w:afterAutospacing="1"/>
        <w:rPr>
          <w:rFonts w:ascii="Arial" w:hAnsi="Arial" w:cs="Arial"/>
          <w:b/>
        </w:rPr>
      </w:pPr>
      <w:r w:rsidRPr="00786CAD">
        <w:rPr>
          <w:rFonts w:ascii="Arial" w:hAnsi="Arial" w:cs="Arial"/>
          <w:b/>
        </w:rPr>
        <w:t>Q</w:t>
      </w:r>
      <w:r w:rsidR="00B3598E">
        <w:rPr>
          <w:rFonts w:ascii="Arial" w:hAnsi="Arial" w:cs="Arial"/>
          <w:b/>
        </w:rPr>
        <w:t>:</w:t>
      </w:r>
      <w:r>
        <w:rPr>
          <w:rFonts w:ascii="Arial" w:hAnsi="Arial" w:cs="Arial"/>
          <w:b/>
        </w:rPr>
        <w:t xml:space="preserve"> </w:t>
      </w:r>
      <w:r w:rsidRPr="006630DF">
        <w:rPr>
          <w:rFonts w:ascii="Arial" w:hAnsi="Arial" w:cs="Arial"/>
          <w:b/>
        </w:rPr>
        <w:t>Jason Zyskowski, Snohomish PUD</w:t>
      </w:r>
      <w:r w:rsidR="00B3598E">
        <w:rPr>
          <w:rFonts w:ascii="Arial" w:hAnsi="Arial" w:cs="Arial"/>
          <w:b/>
        </w:rPr>
        <w:t>-</w:t>
      </w:r>
      <w:r w:rsidRPr="00786CAD">
        <w:rPr>
          <w:rFonts w:ascii="Arial" w:hAnsi="Arial" w:cs="Arial"/>
          <w:b/>
        </w:rPr>
        <w:t xml:space="preserve"> </w:t>
      </w:r>
      <w:r w:rsidR="006922B4" w:rsidRPr="00786CAD">
        <w:rPr>
          <w:rFonts w:ascii="Arial" w:hAnsi="Arial" w:cs="Arial"/>
        </w:rPr>
        <w:t>I was also curious about your reliability metrics for Transmission and if you follow the IEEE 1366 standard and use the Major Event Day (MED) methodology to factor out storms?</w:t>
      </w:r>
      <w:r w:rsidR="006922B4" w:rsidRPr="00786CAD">
        <w:rPr>
          <w:rFonts w:ascii="Arial" w:hAnsi="Arial" w:cs="Arial"/>
          <w:b/>
        </w:rPr>
        <w:t xml:space="preserve">  </w:t>
      </w:r>
    </w:p>
    <w:p w14:paraId="7D0839AF" w14:textId="37B4326E" w:rsidR="00565671" w:rsidRPr="00565671" w:rsidRDefault="00565671" w:rsidP="00565671">
      <w:pPr>
        <w:rPr>
          <w:rFonts w:ascii="Arial" w:hAnsi="Arial" w:cs="Arial"/>
          <w:color w:val="1F497D" w:themeColor="text2"/>
        </w:rPr>
      </w:pPr>
      <w:r w:rsidRPr="00565671">
        <w:rPr>
          <w:rFonts w:ascii="Arial" w:hAnsi="Arial" w:cs="Arial"/>
          <w:b/>
          <w:color w:val="1F497D" w:themeColor="text2"/>
        </w:rPr>
        <w:t>A:</w:t>
      </w:r>
      <w:r w:rsidRPr="00565671">
        <w:rPr>
          <w:rFonts w:ascii="Arial" w:hAnsi="Arial" w:cs="Arial"/>
          <w:color w:val="1F497D" w:themeColor="text2"/>
        </w:rPr>
        <w:t xml:space="preserve"> BPA’s uses the basic algebra associated with the IEEE 1366 standard for SAIFI and SAIDI to calculate its reliability statistics but adjusts the data used in the calculations:</w:t>
      </w:r>
    </w:p>
    <w:p w14:paraId="3F99E08A" w14:textId="77777777" w:rsidR="00565671" w:rsidRPr="00565671" w:rsidRDefault="00565671" w:rsidP="00565671">
      <w:pPr>
        <w:pStyle w:val="ListParagraph"/>
        <w:numPr>
          <w:ilvl w:val="0"/>
          <w:numId w:val="4"/>
        </w:numPr>
        <w:rPr>
          <w:rFonts w:ascii="Arial" w:hAnsi="Arial" w:cs="Arial"/>
          <w:color w:val="1F497D" w:themeColor="text2"/>
        </w:rPr>
      </w:pPr>
      <w:r w:rsidRPr="00565671">
        <w:rPr>
          <w:rFonts w:ascii="Arial" w:hAnsi="Arial" w:cs="Arial"/>
          <w:color w:val="1F497D" w:themeColor="text2"/>
        </w:rPr>
        <w:t>Reliability monitoring is based on unplanned (automatic) outages to transmission lines (not customer points-of-delivery) (e.g. number of lines interrupted, number of lines, and minutes of line interruptions.)</w:t>
      </w:r>
    </w:p>
    <w:p w14:paraId="0D47F29D" w14:textId="77777777" w:rsidR="00565671" w:rsidRPr="00565671" w:rsidRDefault="00565671" w:rsidP="00565671">
      <w:pPr>
        <w:pStyle w:val="ListParagraph"/>
        <w:numPr>
          <w:ilvl w:val="0"/>
          <w:numId w:val="4"/>
        </w:numPr>
        <w:rPr>
          <w:rFonts w:ascii="Arial" w:hAnsi="Arial" w:cs="Arial"/>
          <w:color w:val="1F497D" w:themeColor="text2"/>
        </w:rPr>
      </w:pPr>
      <w:r w:rsidRPr="00565671">
        <w:rPr>
          <w:rFonts w:ascii="Arial" w:hAnsi="Arial" w:cs="Arial"/>
          <w:color w:val="1F497D" w:themeColor="text2"/>
        </w:rPr>
        <w:t>Outages longer than 3-days are capped at 3 days (duration capped; because system is almost always returned to steady-state by then and to avoid skewing of average outage durations by a few very long outages.)</w:t>
      </w:r>
    </w:p>
    <w:p w14:paraId="1C333AC4" w14:textId="77777777" w:rsidR="00565671" w:rsidRPr="00565671" w:rsidRDefault="00565671" w:rsidP="00565671">
      <w:pPr>
        <w:pStyle w:val="ListParagraph"/>
        <w:numPr>
          <w:ilvl w:val="0"/>
          <w:numId w:val="4"/>
        </w:numPr>
        <w:rPr>
          <w:rFonts w:ascii="Arial" w:hAnsi="Arial" w:cs="Arial"/>
          <w:color w:val="1F497D" w:themeColor="text2"/>
        </w:rPr>
      </w:pPr>
      <w:r w:rsidRPr="00565671">
        <w:rPr>
          <w:rFonts w:ascii="Arial" w:hAnsi="Arial" w:cs="Arial"/>
          <w:color w:val="1F497D" w:themeColor="text2"/>
        </w:rPr>
        <w:t>Momentary (zero minute duration) outages are excluded.</w:t>
      </w:r>
    </w:p>
    <w:p w14:paraId="746240D9" w14:textId="77777777" w:rsidR="00565671" w:rsidRPr="00565671" w:rsidRDefault="00565671" w:rsidP="00565671">
      <w:pPr>
        <w:numPr>
          <w:ilvl w:val="0"/>
          <w:numId w:val="4"/>
        </w:numPr>
        <w:rPr>
          <w:rFonts w:ascii="Arial" w:eastAsia="Times New Roman" w:hAnsi="Arial" w:cs="Arial"/>
          <w:snapToGrid w:val="0"/>
          <w:color w:val="1F497D" w:themeColor="text2"/>
        </w:rPr>
      </w:pPr>
      <w:r w:rsidRPr="00565671">
        <w:rPr>
          <w:rFonts w:ascii="Arial" w:eastAsia="Times New Roman" w:hAnsi="Arial" w:cs="Arial"/>
          <w:snapToGrid w:val="0"/>
          <w:color w:val="1F497D" w:themeColor="text2"/>
        </w:rPr>
        <w:t>Outages in the year in which a line may have been energized or retired are excluded (i.e., line must have “full year” availability).</w:t>
      </w:r>
    </w:p>
    <w:p w14:paraId="785EC841" w14:textId="77777777" w:rsidR="00565671" w:rsidRPr="00565671" w:rsidRDefault="00565671" w:rsidP="00565671">
      <w:pPr>
        <w:ind w:left="360"/>
        <w:rPr>
          <w:rFonts w:ascii="Arial" w:hAnsi="Arial" w:cs="Arial"/>
          <w:color w:val="1F497D" w:themeColor="text2"/>
        </w:rPr>
      </w:pPr>
    </w:p>
    <w:p w14:paraId="67355687" w14:textId="77777777" w:rsidR="00565671" w:rsidRPr="00565671" w:rsidRDefault="00565671" w:rsidP="00565671">
      <w:pPr>
        <w:rPr>
          <w:rFonts w:ascii="Arial" w:hAnsi="Arial" w:cs="Arial"/>
        </w:rPr>
      </w:pPr>
      <w:r w:rsidRPr="00565671">
        <w:rPr>
          <w:rFonts w:ascii="Arial" w:hAnsi="Arial" w:cs="Arial"/>
          <w:color w:val="1F497D" w:themeColor="text2"/>
        </w:rPr>
        <w:t>BPA does not use the IEEE 1366 Major Event Day classification. In fact, BPA does not exclude any “storm” outages from its reliability metrics</w:t>
      </w:r>
      <w:r w:rsidRPr="00565671">
        <w:rPr>
          <w:rFonts w:ascii="Arial" w:hAnsi="Arial" w:cs="Arial"/>
        </w:rPr>
        <w:t xml:space="preserve">. </w:t>
      </w:r>
    </w:p>
    <w:p w14:paraId="08D4DE0D" w14:textId="77777777" w:rsidR="006922B4" w:rsidRPr="006630DF" w:rsidRDefault="006922B4">
      <w:pPr>
        <w:rPr>
          <w:rFonts w:ascii="Arial" w:hAnsi="Arial" w:cs="Arial"/>
        </w:rPr>
      </w:pPr>
    </w:p>
    <w:sectPr w:rsidR="006922B4" w:rsidRPr="0066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778"/>
    <w:multiLevelType w:val="hybridMultilevel"/>
    <w:tmpl w:val="FB22E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0461C2"/>
    <w:multiLevelType w:val="hybridMultilevel"/>
    <w:tmpl w:val="15FEF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B374C0"/>
    <w:multiLevelType w:val="hybridMultilevel"/>
    <w:tmpl w:val="E0B8B17A"/>
    <w:lvl w:ilvl="0" w:tplc="0409000F">
      <w:start w:val="1"/>
      <w:numFmt w:val="decimal"/>
      <w:lvlText w:val="%1."/>
      <w:lvlJc w:val="left"/>
      <w:pPr>
        <w:ind w:left="36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E61A21"/>
    <w:multiLevelType w:val="multilevel"/>
    <w:tmpl w:val="E46A7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D0"/>
    <w:rsid w:val="000E74D0"/>
    <w:rsid w:val="00125B9F"/>
    <w:rsid w:val="001D2E59"/>
    <w:rsid w:val="004F06B9"/>
    <w:rsid w:val="00565671"/>
    <w:rsid w:val="006630DF"/>
    <w:rsid w:val="006922B4"/>
    <w:rsid w:val="00786CAD"/>
    <w:rsid w:val="00887E95"/>
    <w:rsid w:val="00A6234C"/>
    <w:rsid w:val="00B3598E"/>
    <w:rsid w:val="00D46059"/>
    <w:rsid w:val="00EB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099A"/>
  <w15:chartTrackingRefBased/>
  <w15:docId w15:val="{23E96455-4627-45B4-8BFC-FCA652A1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4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39085">
      <w:bodyDiv w:val="1"/>
      <w:marLeft w:val="0"/>
      <w:marRight w:val="0"/>
      <w:marTop w:val="0"/>
      <w:marBottom w:val="0"/>
      <w:divBdr>
        <w:top w:val="none" w:sz="0" w:space="0" w:color="auto"/>
        <w:left w:val="none" w:sz="0" w:space="0" w:color="auto"/>
        <w:bottom w:val="none" w:sz="0" w:space="0" w:color="auto"/>
        <w:right w:val="none" w:sz="0" w:space="0" w:color="auto"/>
      </w:divBdr>
    </w:div>
    <w:div w:id="835993304">
      <w:bodyDiv w:val="1"/>
      <w:marLeft w:val="0"/>
      <w:marRight w:val="0"/>
      <w:marTop w:val="0"/>
      <w:marBottom w:val="0"/>
      <w:divBdr>
        <w:top w:val="none" w:sz="0" w:space="0" w:color="auto"/>
        <w:left w:val="none" w:sz="0" w:space="0" w:color="auto"/>
        <w:bottom w:val="none" w:sz="0" w:space="0" w:color="auto"/>
        <w:right w:val="none" w:sz="0" w:space="0" w:color="auto"/>
      </w:divBdr>
    </w:div>
    <w:div w:id="15528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8E3A943C2834A91774BFF078EC218" ma:contentTypeVersion="0" ma:contentTypeDescription="Create a new document." ma:contentTypeScope="" ma:versionID="7d5bb4197d42cbc57b6d11bcd3074e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AF1F7-903D-4CD5-9049-0D79DBEA55BC}">
  <ds:schemaRefs>
    <ds:schemaRef ds:uri="http://schemas.microsoft.com/sharepoint/v3/contenttype/forms"/>
  </ds:schemaRefs>
</ds:datastoreItem>
</file>

<file path=customXml/itemProps2.xml><?xml version="1.0" encoding="utf-8"?>
<ds:datastoreItem xmlns:ds="http://schemas.openxmlformats.org/officeDocument/2006/customXml" ds:itemID="{0946C474-0BAC-4DBB-9184-E461979A5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F5A3E6-0D8D-4129-96AA-75A64BBC175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Wilson,David B (BPA) - DKP-7</dc:creator>
  <cp:keywords/>
  <dc:description/>
  <cp:lastModifiedBy>Rhoads,Abigail M (BPA) - DKE-7</cp:lastModifiedBy>
  <cp:revision>2</cp:revision>
  <dcterms:created xsi:type="dcterms:W3CDTF">2022-08-23T16:15:00Z</dcterms:created>
  <dcterms:modified xsi:type="dcterms:W3CDTF">2022-08-23T16:15:00Z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0x010100A8E8E3A943C2834A91774BFF078EC218</vt:lpwstr>
  </property>
  <property fmtid="{D5CDD505-2E9C-101B-9397-08002B2CF9AE}" pid="3" name="Order">
    <vt:r8>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